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89" w:rsidRPr="003A4AAF" w:rsidRDefault="00C94989" w:rsidP="00C949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Барановська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4AAF">
        <w:rPr>
          <w:rFonts w:ascii="Times New Roman" w:hAnsi="Times New Roman" w:cs="Times New Roman"/>
          <w:b/>
          <w:sz w:val="28"/>
          <w:szCs w:val="28"/>
        </w:rPr>
        <w:t>Л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A4AAF">
        <w:rPr>
          <w:rFonts w:ascii="Times New Roman" w:hAnsi="Times New Roman" w:cs="Times New Roman"/>
          <w:b/>
          <w:sz w:val="28"/>
          <w:szCs w:val="28"/>
        </w:rPr>
        <w:t>В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Барановський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4AAF">
        <w:rPr>
          <w:rFonts w:ascii="Times New Roman" w:hAnsi="Times New Roman" w:cs="Times New Roman"/>
          <w:b/>
          <w:sz w:val="28"/>
          <w:szCs w:val="28"/>
        </w:rPr>
        <w:t>М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A4AAF">
        <w:rPr>
          <w:rFonts w:ascii="Times New Roman" w:hAnsi="Times New Roman" w:cs="Times New Roman"/>
          <w:b/>
          <w:sz w:val="28"/>
          <w:szCs w:val="28"/>
        </w:rPr>
        <w:t>М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Професіоналізм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викладача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полікультурної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4AAF">
        <w:rPr>
          <w:rFonts w:ascii="Times New Roman" w:hAnsi="Times New Roman" w:cs="Times New Roman"/>
          <w:b/>
          <w:sz w:val="28"/>
          <w:szCs w:val="28"/>
        </w:rPr>
        <w:t>студента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4AAF">
        <w:rPr>
          <w:rFonts w:ascii="Times New Roman" w:hAnsi="Times New Roman" w:cs="Times New Roman"/>
          <w:b/>
          <w:sz w:val="28"/>
          <w:szCs w:val="28"/>
        </w:rPr>
        <w:t>у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процесі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4AAF">
        <w:rPr>
          <w:rFonts w:ascii="Times New Roman" w:hAnsi="Times New Roman" w:cs="Times New Roman"/>
          <w:b/>
          <w:sz w:val="28"/>
          <w:szCs w:val="28"/>
        </w:rPr>
        <w:t>у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4AAF">
        <w:rPr>
          <w:rFonts w:ascii="Times New Roman" w:hAnsi="Times New Roman" w:cs="Times New Roman"/>
          <w:b/>
          <w:sz w:val="28"/>
          <w:szCs w:val="28"/>
        </w:rPr>
        <w:t>ВНЗ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іноземною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мовою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</w:t>
      </w:r>
      <w:r w:rsidRPr="003A4AAF">
        <w:rPr>
          <w:rFonts w:ascii="Times New Roman" w:hAnsi="Times New Roman" w:cs="Times New Roman"/>
          <w:b/>
          <w:sz w:val="28"/>
          <w:szCs w:val="28"/>
        </w:rPr>
        <w:t>Л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A4AAF">
        <w:rPr>
          <w:rFonts w:ascii="Times New Roman" w:hAnsi="Times New Roman" w:cs="Times New Roman"/>
          <w:b/>
          <w:sz w:val="28"/>
          <w:szCs w:val="28"/>
        </w:rPr>
        <w:t>В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Барановська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   </w:t>
      </w:r>
      <w:r w:rsidRPr="003A4AAF">
        <w:rPr>
          <w:rFonts w:ascii="Times New Roman" w:hAnsi="Times New Roman" w:cs="Times New Roman"/>
          <w:b/>
          <w:sz w:val="28"/>
          <w:szCs w:val="28"/>
        </w:rPr>
        <w:t>М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A4AAF">
        <w:rPr>
          <w:rFonts w:ascii="Times New Roman" w:hAnsi="Times New Roman" w:cs="Times New Roman"/>
          <w:b/>
          <w:sz w:val="28"/>
          <w:szCs w:val="28"/>
        </w:rPr>
        <w:t>М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Барановський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//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Наукові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4AAF">
        <w:rPr>
          <w:rFonts w:ascii="Times New Roman" w:hAnsi="Times New Roman" w:cs="Times New Roman"/>
          <w:b/>
          <w:sz w:val="28"/>
          <w:szCs w:val="28"/>
        </w:rPr>
        <w:t>записки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A4A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4AAF">
        <w:rPr>
          <w:rFonts w:ascii="Times New Roman" w:hAnsi="Times New Roman" w:cs="Times New Roman"/>
          <w:b/>
          <w:sz w:val="28"/>
          <w:szCs w:val="28"/>
        </w:rPr>
        <w:t>івненського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4AAF">
        <w:rPr>
          <w:rFonts w:ascii="Times New Roman" w:hAnsi="Times New Roman" w:cs="Times New Roman"/>
          <w:b/>
          <w:sz w:val="28"/>
          <w:szCs w:val="28"/>
        </w:rPr>
        <w:t>державного</w:t>
      </w:r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гуманітарного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Збірник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наукових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праць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spellStart"/>
      <w:proofErr w:type="gramStart"/>
      <w:r w:rsidRPr="003A4A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4AAF">
        <w:rPr>
          <w:rFonts w:ascii="Times New Roman" w:hAnsi="Times New Roman" w:cs="Times New Roman"/>
          <w:b/>
          <w:sz w:val="28"/>
          <w:szCs w:val="28"/>
        </w:rPr>
        <w:t>івне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</w:rPr>
        <w:t xml:space="preserve">: РДГУ, 2015. – Ч. 1. – </w:t>
      </w:r>
      <w:proofErr w:type="spellStart"/>
      <w:r w:rsidRPr="003A4AAF">
        <w:rPr>
          <w:rFonts w:ascii="Times New Roman" w:hAnsi="Times New Roman" w:cs="Times New Roman"/>
          <w:b/>
          <w:sz w:val="28"/>
          <w:szCs w:val="28"/>
        </w:rPr>
        <w:t>Вип</w:t>
      </w:r>
      <w:proofErr w:type="spellEnd"/>
      <w:r w:rsidRPr="003A4AAF">
        <w:rPr>
          <w:rFonts w:ascii="Times New Roman" w:hAnsi="Times New Roman" w:cs="Times New Roman"/>
          <w:b/>
          <w:sz w:val="28"/>
          <w:szCs w:val="28"/>
        </w:rPr>
        <w:t>. 12 (55). – С.154-162.</w:t>
      </w:r>
    </w:p>
    <w:p w:rsidR="00C94989" w:rsidRPr="003A4AAF" w:rsidRDefault="00C94989" w:rsidP="007029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989" w:rsidRPr="003A4AAF" w:rsidRDefault="00C94989" w:rsidP="007029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91" w:rsidRDefault="00702991" w:rsidP="007029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378.124: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378.147:81243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(045)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Л.В. Барановська</w:t>
      </w:r>
    </w:p>
    <w:p w:rsidR="00702991" w:rsidRDefault="00702991" w:rsidP="007029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М.М. Барановський</w:t>
      </w:r>
    </w:p>
    <w:p w:rsidR="00702991" w:rsidRDefault="00702991" w:rsidP="007029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ПРОФЕСІОНАЛІЗМ ВИКЛАДАЧА З ФОРМУВАННЯ ПОЛІКУЛЬТУРНОЇ ОСОБИСТОСТІ СТУДЕНТА У ПРОЦЕСІ ЙОГО НАВЧАННЯ У ВНЗ ІНОЗЕМНОЮ МОВОЮ</w:t>
      </w:r>
    </w:p>
    <w:p w:rsidR="00702991" w:rsidRDefault="00702991" w:rsidP="007029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Резюме</w:t>
      </w:r>
      <w:r>
        <w:rPr>
          <w:rFonts w:ascii="Times New Roman" w:hAnsi="Times New Roman" w:cs="Times New Roman"/>
          <w:sz w:val="28"/>
          <w:szCs w:val="28"/>
          <w:lang w:val="uk-UA"/>
        </w:rPr>
        <w:t>. У статті визначено складові професіоналізму викладача вищої школи. Приділена увага системі його умінь та педагогічних здібностей. Визначено дефініцію поняття «полікультурна особистість» та уточнено роль дидактичного фактора в її формуванні в умовах навчання за фахом у вищому навчальному закладі. Описана методика роботи із студентами, які навчаються в англомовному проекті в напрямі формування їх як кваліфікованих фахівців та полікультурних особистостей.</w:t>
      </w:r>
    </w:p>
    <w:p w:rsidR="00702991" w:rsidRDefault="00702991" w:rsidP="0070299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Ключові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полікультурна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991" w:rsidRDefault="00702991" w:rsidP="0070299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Резюме.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составляющие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профессионализма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преподавателя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Уделено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дефиниция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поликультурная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и уточнена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дидактического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фактора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формировании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высшем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заведении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Описана методика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обучаються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англоязыковом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направлении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квалифицированных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специалистов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поликультурных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991" w:rsidRDefault="00702991" w:rsidP="0070299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Ключевые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преподаватель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профессионализм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поликультурная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иностранный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991" w:rsidRDefault="00702991" w:rsidP="00702991">
      <w:pPr>
        <w:keepNext/>
        <w:ind w:right="37" w:firstLine="540"/>
        <w:jc w:val="both"/>
        <w:outlineLvl w:val="0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lastRenderedPageBreak/>
        <w:t xml:space="preserve">L. </w:t>
      </w:r>
      <w:proofErr w:type="spellStart"/>
      <w:r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>Baranovska</w:t>
      </w:r>
      <w:proofErr w:type="spellEnd"/>
      <w:r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Baranovsky</w:t>
      </w:r>
      <w:proofErr w:type="spellEnd"/>
      <w:r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pacing w:val="3"/>
          <w:sz w:val="28"/>
          <w:szCs w:val="28"/>
          <w:lang w:val="en-US"/>
        </w:rPr>
        <w:t>Summary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In the article components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research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and educational worker’s  professionalism is determined. System of pedagogical skills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capabilities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definition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term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multicultural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personality</w:t>
      </w:r>
      <w:proofErr w:type="spellEnd"/>
      <w:proofErr w:type="gram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» 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is</w:t>
      </w:r>
      <w:proofErr w:type="spellEnd"/>
      <w:proofErr w:type="gramEnd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refined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Methodology of work with students of English project is described.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</w:p>
    <w:p w:rsidR="00702991" w:rsidRDefault="00702991" w:rsidP="00702991">
      <w:pPr>
        <w:keepNext/>
        <w:ind w:right="37"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pacing w:val="3"/>
          <w:sz w:val="28"/>
          <w:szCs w:val="28"/>
          <w:lang w:val="en-US"/>
        </w:rPr>
        <w:t>Key</w:t>
      </w:r>
      <w:r>
        <w:rPr>
          <w:rFonts w:ascii="Times New Roman" w:hAnsi="Times New Roman" w:cs="Times New Roman"/>
          <w:b/>
          <w:i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pacing w:val="3"/>
          <w:sz w:val="28"/>
          <w:szCs w:val="28"/>
          <w:lang w:val="en-US"/>
        </w:rPr>
        <w:t>words</w:t>
      </w:r>
      <w:r>
        <w:rPr>
          <w:rFonts w:ascii="Times New Roman" w:hAnsi="Times New Roman" w:cs="Times New Roman"/>
          <w:spacing w:val="9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research and educational worker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,  professionalism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multicultural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personality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, pedagogical capabilities, foreign language.</w:t>
      </w:r>
    </w:p>
    <w:p w:rsidR="00702991" w:rsidRDefault="00702991" w:rsidP="0070299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Постановка проблеми в загальному вигляді.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Результативність професійної підготовки студента у вищому навчальному закладі зумовлюється наявністю спеціально створених педагогічних умов. Найважливішою з них є професіоналізм науково-педагогічного працівника, який забезпечує навчання, виховання та розвиток майбутніх фахівців. Викладач є суб’єктом педагогічного процесу в закладі вищої освіти. Ним мета педагогічного впливу завжди планується як певні ефекти просування, зміни особистості вихованця. Педагог прагне сформувати «внутрішні основи»: знання, переконання, методи, дії, необхідні для подальшого самостійного керування студентом  своєю майбутньою діяльністю. Педагогічні цілі представляють певну ієрархічну систему: вихідні (загальні) - визначають спрямованість певної системи освіти; вони втілюються у конструктивних, які визначають способи і характер досягнення вихідних цілей за певних умов. Такі цілі зумовлюють рівень розвитку знань, умінь, навичок, сформованість певних рис особистості на конкретному етапі освіти. Наявні й оперативні педагогічні цілі (займають найнижче місце в ієрархії цілей): це діяльність стосовно різноманітних педагогічних ситуацій, з якими має справу педагог-практик [1, с.137].</w:t>
      </w:r>
    </w:p>
    <w:p w:rsidR="00702991" w:rsidRDefault="00702991" w:rsidP="0070299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студента як майбутнього спеціаліста, розвиток його як особистості є інтегрованою та універсальною метою діяльності викладача. А коли студент та науково-педагогічний працівник взаємодіють в умовах полікультурного середовища, в якому засобом навчання є не рідна, а іноземна мова, зреалізувати цю мету може лише педагог-майстер, справжній професіонал.</w:t>
      </w:r>
    </w:p>
    <w:p w:rsidR="00702991" w:rsidRPr="00702991" w:rsidRDefault="00702991" w:rsidP="00702991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Аналіз останніх досліджень. </w:t>
      </w: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 його фахової майстерності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уваги вчених. Педагогічну майстерність та творчість досліджували  В.Х.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Гашимова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Кан-Калик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Н. В. Кузьміна, Т.Б.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Нісельбаум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991">
        <w:rPr>
          <w:rFonts w:ascii="Times New Roman" w:hAnsi="Times New Roman" w:cs="Times New Roman"/>
          <w:sz w:val="28"/>
          <w:szCs w:val="28"/>
          <w:lang w:val="uk-UA"/>
        </w:rPr>
        <w:t>[3</w:t>
      </w:r>
      <w:r>
        <w:rPr>
          <w:rFonts w:ascii="Times New Roman" w:hAnsi="Times New Roman" w:cs="Times New Roman"/>
          <w:sz w:val="28"/>
          <w:szCs w:val="28"/>
          <w:lang w:val="uk-UA"/>
        </w:rPr>
        <w:t>, 5, 7, 8, 9, 10</w:t>
      </w:r>
      <w:r w:rsidRPr="0070299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формуванню професійної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компетентності викладача, упровадженню ним інноваційних педагогічних та інформаційних технологій у навчальний  процес присвятили свої праці В.І.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Бобрицька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Р.С. Гуревич, 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К.М. Осадча,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Пєхота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С.Г. Погоріла,            Л.О.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Фуштей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 вчені </w:t>
      </w:r>
      <w:r w:rsidRPr="00702991">
        <w:rPr>
          <w:rFonts w:ascii="Times New Roman" w:hAnsi="Times New Roman" w:cs="Times New Roman"/>
          <w:sz w:val="28"/>
          <w:szCs w:val="28"/>
          <w:lang w:val="uk-UA"/>
        </w:rPr>
        <w:t>[2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2991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, 11, 12, 13</w:t>
      </w:r>
      <w:r w:rsidRPr="0070299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991" w:rsidRDefault="00702991" w:rsidP="00702991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статті: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спрямованості, змістових та технологічних особливостей діяльності науково-педагогічного працівника з формування полікультурної особистості студента за умов його навчання у ВНЗ іноземною мовою. </w:t>
      </w:r>
    </w:p>
    <w:p w:rsidR="00702991" w:rsidRDefault="00702991" w:rsidP="0070299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Викладення основного матеріалу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Важливою складовою професіоналізму викладача є система умінь, які дозволяють йому майстерно й упевнено впливати на навчальну активність студента. Найсуттєвішими з них є  уміння працювати зі змістом навчального матеріалу, постійно оновлюючи його; уміння  планувати й організовувати навчальний процес з урахуванням особливостей мотиваційної сфери студентів та розширювати можливості самоорганізації студентів; уміння застосовувати диференційований та індивідуальний підходи, реалізовуючи їх в навчальних авторських програмах, у доборі відповідних форм, методів, прийомів навчання, виховання та розвитку студентів; уміння використовувати психолого-педагогічні знання, передовий педагогічний досвід; оцінювати власний індивідуальний стиль, аналізувати й узагальнювати досвід, співвідносити його з досвідом інших, формувати плани свого розвитку; уміння контролювати процес поступового оволодіння студентами навчальною,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квазіпрофесійною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професійною діяльністю; оцінювати рівень їхніх досягнень; стимулювати студентів до самовдосконалення, до неперервного навчання; уміння виявляти оперативність, творчість, конструктивність, педагогічну етику для вирішення педагогічних завдань, створення атмосфери довіри до студентів; уміння встановлення зворотного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rtl/>
          <w:lang w:val="uk-UA" w:bidi="he-IL"/>
        </w:rPr>
        <w:t>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ними;  уміння бути відкритим у спілкуванні зі студентами, запобігати створенню комунікативних бар’єрів, попереджувати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конструктивно вирішувати педагогічні конфлікти заради збереження психічного здоров’я та реалізації внутрішніх резервів об’єктів професійної підготовки; уміння створювати ситуації успіху під час навчання студентів, вірити в перспективу їхнього особистісного та професійного зростання;  уміння цінувати педагогічну професію, долати труднощі фахового характеру, розвивати педагогічні здібності, удосконалювати свою внутрішню і зовнішню педагогічну техніки; уміння з постійного вдосконалення технології навчання студентів [12]. За допомогою умінь розкриваються педагогічні здібності викладача.  І.А.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Зязюн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[5] виокремлює такі найважливіші педагогічні здібності: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комунікативність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професійна здатність педагога з реалізації потреби в спілкуванні, готовність легко вступати в контакт, викликати позитивні емоції у студентів й відчувати задоволення від спілкування;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перцептивні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здібності – професійна проникливість, пильність, педагогічна інтуїція, здатність сприймати і розуміти іншу людину; динамізм особистості – здатність активно впливати на іншу особистість; емоційна стабільність – здатність володіти собою, зберігати самоконтроль, здійснювати саморегуляцію за будь-якої ситуації, незалежно від сили зовнішніх чинників, що провокують емоційний зрив; оптимістичне прогнозування розвитку особистості з орієнтацією на позитивне в ній і перетворення всієї структури особистості через вплив на позитивні якості;  креативність – здатність до творчості, спроможність генерувати незвичні ідеї, відходити від традиційних схем, швидко вирішувати проблемні ситуації [ 5,      с. 35-36]. </w:t>
      </w:r>
    </w:p>
    <w:p w:rsidR="00702991" w:rsidRDefault="00702991" w:rsidP="0070299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Водночас можна запропонувати й іншу класифікацію видів педагогічних здібностей, здійснену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Савчином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дидактичні – полягають у вмінні доступно та зрозуміло викладати навчальний матеріал, організовувати самостійну діяльність студентів та керувати їхньою пізнавальною активністю; академічні – володіння матеріалом навчальної дисципліни; уміння здійснювати дослідницьку роботу;  гностичні – здібності до швидкого і творчого оволодіння методами навчання;  конструктивні – здатність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створити атмосферу співробітництва, спільної діяльності;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перцептивні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психологічна спостережливість, розуміння особистості студента і його психічних станів; мовні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мовленнєві–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володіння чіткою дикцією, багатим словниковим запасом, вміння чітко висловлювати власні думки і почуття з допомогою мови та невербальних засобів; мовлення викладача повинно бути чітким, виразним, переконливим, безпомилковим, простим, зрозумілим, образним та емоційно забарвленим;  комунікативні – уміння спілкуватися зі студентами, знаходити підхід до них, встановлювати з ними педагогічно доцільні стосунки;  експресивні – здатність до емоційного наповнення взаємодії зі студентами за допомогою правильної дикції та дихання, добре поставленого голосу, узгодженості мови; до синхронізації мовлення, міміки,  жестів;  організаторські – здатність до гуртування студентського колективу, організації його діяльності; сугестивні – здатність викладача до безпосереднього емоційно-вольового впливу на студентів, вміння переконувати; прогностичні – здатність прогнозувати результат педагогічної діяльності; педагогічна рефлексія – здатність оцінити свою діяльність, її результати, власний індивідуальний стиль [14, с. 344].</w:t>
      </w:r>
    </w:p>
    <w:p w:rsidR="00702991" w:rsidRDefault="00702991" w:rsidP="0070299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Портрет викладача-професіонала є неповним, якщо не згадати про систему його цінностей. Основними з них є повага до людини, до педагогічної праці. Діапазон цінностей науково-педагогічного працівника розширюється, коли метою його професійної праці стає формування полікультурної особистості.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Полікультурність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визнання світових та загальноєвропейських політичних і культурних  традицій, орієнтованих  на фундаментальні цінності західної цивілізації (парламентаризм, верховенство прав людини, національних меншин; свобода слова, пересування, отримання освіти; можливість працевлаштування).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Полікультурність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добра,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Полікультурність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ідентифікації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загальноєвропейським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неможливим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нашу думку, 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самоідентичність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шлях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полікультурності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991" w:rsidRDefault="00702991" w:rsidP="0070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умовах поглиблення інтеграційних процесів у сфері вищої освіти набуває особливого значення  надання можливості вітчизняним студентам удосконалювати  в процесі навчання рівень володіння мовою міжнародної взаємодії та долучатися за її допомогою до світових загальнолюдських цінностей.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ВНЗ.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освітньо-кваліфікаційними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991" w:rsidRDefault="00702991" w:rsidP="0070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міграційні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методичному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991" w:rsidRDefault="00702991" w:rsidP="0070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в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дозволило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нашу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неминуче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991" w:rsidRDefault="00702991" w:rsidP="0070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вигідному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лінгвістичною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991" w:rsidRDefault="00702991" w:rsidP="00702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викладачеві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Вирівнюванню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першокурсникі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опрацьовані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глосарію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експрес-опитування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орфоепічних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991" w:rsidRDefault="00702991" w:rsidP="0070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другому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2991" w:rsidRDefault="00702991" w:rsidP="0070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третьому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курсі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загальнонаукову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термінологічну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інформативно-пошукові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нашу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недоцільність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виду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загальнолінгвістичні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семінари-дискусії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професійно-комунікативного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мережу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«скелет»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991" w:rsidRDefault="00702991" w:rsidP="0070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студентами </w:t>
      </w:r>
      <w:r>
        <w:rPr>
          <w:rFonts w:ascii="Times New Roman" w:hAnsi="Times New Roman" w:cs="Times New Roman"/>
          <w:i/>
          <w:sz w:val="28"/>
          <w:szCs w:val="28"/>
        </w:rPr>
        <w:t>четвертого курсу,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нашу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 лектором,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позауніверситетських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991" w:rsidRDefault="00702991" w:rsidP="0070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цілеспрямована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впевненої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ВНЗ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форумах,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991" w:rsidRDefault="00702991" w:rsidP="0070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Висновок. </w:t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полікультурності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засадовим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урядами,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студентами,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підсилює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інтернаціоналізацію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Володіння англійською мовою </w:t>
      </w:r>
      <w:r>
        <w:rPr>
          <w:rFonts w:ascii="Times New Roman" w:hAnsi="Times New Roman" w:cs="Times New Roman"/>
          <w:sz w:val="28"/>
          <w:szCs w:val="28"/>
        </w:rPr>
        <w:t xml:space="preserve">дозволить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глобальними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тенденціями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простору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спадкоємність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ВНЗ;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991" w:rsidRDefault="00702991" w:rsidP="0070299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702991" w:rsidRDefault="00702991" w:rsidP="00702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1.Барановська Л.В. Педагогіка та психологія вищої школи: навчальний посібник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Л.В. Барановська. – Київ: НАУ, 2015. – 240с.</w:t>
      </w:r>
    </w:p>
    <w:p w:rsidR="00702991" w:rsidRDefault="00702991" w:rsidP="00702991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2.Бобрицька В. І. Організаційно-педагогічні умови формування самоосвітньої компетенції педагога вищої школи в умовах магістратури /         В. 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Бобрицька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Історико-педагогічні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студії : наук. часопис. – К. : Вид-во НПУ імені  М. П. Драгоманова, 2011. – С. 55–58.</w:t>
      </w:r>
    </w:p>
    <w:p w:rsidR="00702991" w:rsidRPr="00702991" w:rsidRDefault="00702991" w:rsidP="00702991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Style w:val="10"/>
          <w:color w:val="000000"/>
          <w:u w:val="non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3.Гашимова В.Х. Деякі аспекти розвитку творчої особистості вчителя В.Х.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Гашимова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Педагогіка і психологія. – 1996. - №3. – С. 255.</w:t>
      </w:r>
    </w:p>
    <w:p w:rsidR="00702991" w:rsidRDefault="00702991" w:rsidP="00702991">
      <w:pPr>
        <w:pStyle w:val="1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4.Гриньова М. В. Педагогічні технології : теорія та практика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М.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Гриньова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Полтава : АСМІ, 2008. – 230 с.</w:t>
      </w:r>
    </w:p>
    <w:p w:rsidR="00702991" w:rsidRDefault="00702991" w:rsidP="00702991">
      <w:pPr>
        <w:pStyle w:val="1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5.Педагогічна майстерність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Зязюн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Л.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Крамущенко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 І.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Кривонос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за ред. І.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К. : Вища шк., 1997. – 349 с.</w:t>
      </w:r>
    </w:p>
    <w:p w:rsidR="00702991" w:rsidRDefault="00702991" w:rsidP="00702991">
      <w:pPr>
        <w:pStyle w:val="1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6.Дубасенюк О. А. Теорія і практика професійної виховної діяльності педагога : [монографія] / О.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Дубасенюк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Житомир : ЖДУ, 2005. – 367 с. </w:t>
      </w:r>
    </w:p>
    <w:p w:rsidR="00702991" w:rsidRDefault="00702991" w:rsidP="00702991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7.Кан-Калик В.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Педагогическое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творчество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В.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Кан-Калик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           Н.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Никандров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1990. – 144 с.</w:t>
      </w:r>
    </w:p>
    <w:p w:rsidR="00702991" w:rsidRDefault="00702991" w:rsidP="00702991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8.Кичук Н.В.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творчества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учителя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творчеству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ученика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Измаил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1992. – 92 с.</w:t>
      </w:r>
    </w:p>
    <w:p w:rsidR="00702991" w:rsidRPr="00702991" w:rsidRDefault="00702991" w:rsidP="00702991">
      <w:pPr>
        <w:pStyle w:val="1"/>
        <w:tabs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9. Кузьмина Н.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Закономерности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акмеологоориентированного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профессионализма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учителя / Н. В. Кузьмина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Акмеология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науч.-практ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журн.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Междунар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акад.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акмеол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наук. </w:t>
      </w:r>
      <w:r w:rsidRPr="0070299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2003. – № 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2991">
        <w:rPr>
          <w:rFonts w:ascii="Times New Roman" w:hAnsi="Times New Roman" w:cs="Times New Roman"/>
          <w:color w:val="000000"/>
          <w:sz w:val="28"/>
          <w:szCs w:val="28"/>
          <w:lang w:val="uk-UA"/>
        </w:rPr>
        <w:t>(8) – С. 50–54.</w:t>
      </w:r>
    </w:p>
    <w:p w:rsidR="00702991" w:rsidRDefault="00702991" w:rsidP="00702991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10.Нісельбаум Т.Б. Педагогічні вимоги до професійних якостей викладача, який розвиває творчу особистість / Т.Б.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Нісельбаум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Педагогіка і психологія формування творчої особистості: проблеми, пошуки: зб. наук. праць. – Київ – Запоріжжя, 2002.  Вип. 22.  С. 15-19.</w:t>
      </w:r>
    </w:p>
    <w:p w:rsidR="00702991" w:rsidRDefault="00702991" w:rsidP="00702991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11.Пєхота О. М. Індивідуалізація професійно-педагогічної підготовки вчителя: автореф. дис. на здобуття наук. ступеня доктора пед. наук : спец. 13.00.04 - теорія та методика професійної освіти / О.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Пєхота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К., 1997. – 52 с.</w:t>
      </w:r>
    </w:p>
    <w:p w:rsidR="00702991" w:rsidRDefault="00702991" w:rsidP="00702991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12.Погоріла С.Г. Професійно-педагогічна підготовка магістрів з економіки та підприємництва у вищому навчальному закладі: автореф. дис. на здобуття наук. ступеня канд. пед. наук : спец. 13.00.04 - теорія та методика професійної освіти / С.Г. Погоріла. – Біла Церква, 2015. – 20 с.</w:t>
      </w:r>
    </w:p>
    <w:p w:rsidR="00702991" w:rsidRDefault="00702991" w:rsidP="00702991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Савенкова Л. 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Л. О. Савенкова.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КНЕУ, 2006. </w:t>
      </w:r>
      <w:r>
        <w:rPr>
          <w:rFonts w:ascii="Times New Roman" w:hAnsi="Times New Roman" w:cs="Times New Roman"/>
          <w:bCs/>
          <w:iCs/>
          <w:sz w:val="28"/>
          <w:szCs w:val="28"/>
        </w:rPr>
        <w:t>– 192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91" w:rsidRDefault="00702991" w:rsidP="00702991">
      <w:pPr>
        <w:pStyle w:val="1"/>
        <w:tabs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Савчин М. В. Педагогічна психологія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М.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2007. – 424 с.</w:t>
      </w:r>
    </w:p>
    <w:p w:rsidR="00673696" w:rsidRPr="00702991" w:rsidRDefault="00673696">
      <w:pPr>
        <w:rPr>
          <w:lang w:val="uk-UA"/>
        </w:rPr>
      </w:pPr>
    </w:p>
    <w:sectPr w:rsidR="00673696" w:rsidRPr="00702991" w:rsidSect="0008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991"/>
    <w:rsid w:val="00082C46"/>
    <w:rsid w:val="00150BC6"/>
    <w:rsid w:val="003A4AAF"/>
    <w:rsid w:val="00673696"/>
    <w:rsid w:val="00702991"/>
    <w:rsid w:val="00C9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2991"/>
    <w:pPr>
      <w:suppressAutoHyphens/>
      <w:ind w:left="720"/>
    </w:pPr>
    <w:rPr>
      <w:rFonts w:ascii="Calibri" w:eastAsia="Calibri" w:hAnsi="Calibri" w:cs="Calibri"/>
      <w:kern w:val="2"/>
      <w:lang w:eastAsia="ar-SA"/>
    </w:rPr>
  </w:style>
  <w:style w:type="character" w:customStyle="1" w:styleId="10">
    <w:name w:val="Слабая ссылка1"/>
    <w:basedOn w:val="a0"/>
    <w:rsid w:val="00702991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3125</Words>
  <Characters>17813</Characters>
  <Application>Microsoft Office Word</Application>
  <DocSecurity>0</DocSecurity>
  <Lines>148</Lines>
  <Paragraphs>41</Paragraphs>
  <ScaleCrop>false</ScaleCrop>
  <Company>Grizli777</Company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2016-05-22T20:43:00Z</dcterms:created>
  <dcterms:modified xsi:type="dcterms:W3CDTF">2016-05-22T21:28:00Z</dcterms:modified>
</cp:coreProperties>
</file>