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  <w:lang w:val="uk-UA"/>
        </w:rPr>
      </w:pPr>
    </w:p>
    <w:p>
      <w:pPr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              Сіденко С.В.</w:t>
      </w:r>
    </w:p>
    <w:p>
      <w:pPr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                            доктор економічних наук, професор,                                              </w:t>
      </w:r>
    </w:p>
    <w:p>
      <w:pPr>
        <w:ind w:left="2832" w:firstLine="708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завідувач кафедри МЕВ і бізнесу</w:t>
      </w:r>
    </w:p>
    <w:p>
      <w:pPr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                      Інституту міжнародних відносин</w:t>
      </w:r>
    </w:p>
    <w:p>
      <w:pPr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                                   Національного авіаційного університету</w:t>
      </w:r>
    </w:p>
    <w:p>
      <w:pPr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м.Київ</w:t>
      </w:r>
    </w:p>
    <w:p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Європейська соціальна модель в умовах глобальних трансформацій</w:t>
      </w:r>
    </w:p>
    <w:p>
      <w:pPr>
        <w:jc w:val="both"/>
        <w:rPr>
          <w:sz w:val="28"/>
          <w:lang w:val="uk-UA"/>
        </w:rPr>
      </w:pP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Сучасний світовий розвиток відбувається під впливом процесів глобалізації, формування інформаційного суспільства та переходу до нової парадигми цивілізаційного розвитку, що обумовлює зміни в технологіях, інноваціях та спричиняє глибокі соціальні зрушення. В усіх цих змінах ключову роль відіграє людина як носій знань, інтелекту, досвіду, менеджменту, цінностей. Саме тому соціальний розвиток набуває особливого значення для країн і регіонів світу.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Найбільш яскраво спільна соціальна політика проявилася в рамках Європейського Союзу, де соціальний чинник враховувався у теоретичних розробках і політичних проектах ще при заснуванні європейської інтеграції, причому як пріоритетний чинник, яким необхідно керуватися при розробці і здійсненні інтеграційних програм. У </w:t>
      </w:r>
      <w:r>
        <w:rPr>
          <w:sz w:val="28"/>
          <w:szCs w:val="28"/>
          <w:lang w:val="uk-UA"/>
        </w:rPr>
        <w:t xml:space="preserve">Римському договорі 1957 р. про Єдине економічне співтовариство були визначені загальні контури соціальної політики Співтовариства та декларувалася спільна мета досягнення  соціального прогресу і забезпечення високого рівня зайнятості,  поліпшення умов життя й праці.         Подальшого розвитку європейська соціальна політика набула у 1980-і роки  завдяки ухваленню двох важливих документів: Єдиного європейського акту (1986 р.) і Хартії основних соціальних прав трудящих Співтовариства (1989 р.). Перший документ знаменував собою новий підхід до гармонізації національних законодавств і приведення їх у відповідність із правом ЄС,  а другий позначив головні цілі соціальної політики Європейського Союзу. </w:t>
      </w:r>
    </w:p>
    <w:p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lang w:val="uk-UA"/>
        </w:rPr>
        <w:t xml:space="preserve">Досвід розвитку Європейського співтовариства показав, що між економічною інтеграцією  і соціальним розвитком існує складний взаємозв'язок. З одного боку, економічне співробітництво впливає на соціальну сферу -  рівень добробуту, розвиток людських ресурсів, соціальні гарантії і стандарти. З іншого боку, </w:t>
      </w:r>
      <w:r>
        <w:rPr>
          <w:sz w:val="28"/>
          <w:szCs w:val="28"/>
          <w:lang w:val="uk-UA"/>
        </w:rPr>
        <w:t>–</w:t>
      </w:r>
      <w:r>
        <w:rPr>
          <w:sz w:val="28"/>
          <w:lang w:val="uk-UA"/>
        </w:rPr>
        <w:t xml:space="preserve"> соціальний розвиток  впливає на інтеграційні процеси в ЄС, адже стан зайнятості,  демографічні  процеси, життєві стандарти, стан освіти та охорони здоров’я, міграційні процеси впливають на економічне зростання та конкурентоспроможність Співтовариства. Особливо це стало необхідним  в умовах функціонування економічного і валютного союзу, що сприяє більш ефективному використанню матеріальних і людських ресурсів та науково-технічного потенціалу для забезпечення економічного зростання та на його основі  підвищення рівня і якості життя.</w:t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Посилення глобальної конкуренції обумовило визначення нових пріоритетів розвитку Співтовариства.  </w:t>
      </w:r>
      <w:r>
        <w:fldChar w:fldCharType="begin"/>
      </w:r>
      <w:r>
        <w:instrText xml:space="preserve"> HYPERLINK "https://uk.wikipedia.org/wiki/%D0%9B%D1%96%D1%81%D0%B0%D0%B1%D0%BE%D0%BD%D1%81%D1%8C%D0%BA%D0%B0_%D1%81%D1%82%D1%80%D0%B0%D1%82%D0%B5%D0%B3%D1%96%D1%8F" \o "Лісабонська стратегія" </w:instrText>
      </w:r>
      <w:r>
        <w:fldChar w:fldCharType="separate"/>
      </w:r>
      <w:r>
        <w:rPr>
          <w:rStyle w:val="3"/>
          <w:sz w:val="28"/>
          <w:lang w:val="uk-UA"/>
        </w:rPr>
        <w:t xml:space="preserve">Лісабонська угода 2007 р. </w:t>
      </w:r>
      <w:r>
        <w:rPr>
          <w:rStyle w:val="3"/>
          <w:sz w:val="28"/>
          <w:lang w:val="uk-UA"/>
        </w:rPr>
        <w:fldChar w:fldCharType="end"/>
      </w:r>
      <w:r>
        <w:rPr>
          <w:sz w:val="28"/>
          <w:lang w:val="uk-UA"/>
        </w:rPr>
        <w:t> визначила мету розвитку соціальної сфери до </w:t>
      </w:r>
      <w:r>
        <w:fldChar w:fldCharType="begin"/>
      </w:r>
      <w:r>
        <w:instrText xml:space="preserve"> HYPERLINK "https://uk.wikipedia.org/wiki/2010" \o "2010" </w:instrText>
      </w:r>
      <w:r>
        <w:fldChar w:fldCharType="separate"/>
      </w:r>
      <w:r>
        <w:rPr>
          <w:rStyle w:val="3"/>
          <w:sz w:val="28"/>
          <w:lang w:val="uk-UA"/>
        </w:rPr>
        <w:t>2010</w:t>
      </w:r>
      <w:r>
        <w:rPr>
          <w:rStyle w:val="3"/>
          <w:sz w:val="28"/>
          <w:lang w:val="uk-UA"/>
        </w:rPr>
        <w:fldChar w:fldCharType="end"/>
      </w:r>
      <w:r>
        <w:rPr>
          <w:sz w:val="28"/>
          <w:lang w:val="uk-UA"/>
        </w:rPr>
        <w:t xml:space="preserve"> року </w:t>
      </w:r>
      <w:r>
        <w:rPr>
          <w:sz w:val="28"/>
          <w:szCs w:val="28"/>
          <w:lang w:val="uk-UA"/>
        </w:rPr>
        <w:t>–</w:t>
      </w:r>
      <w:r>
        <w:rPr>
          <w:sz w:val="28"/>
          <w:lang w:val="uk-UA"/>
        </w:rPr>
        <w:t xml:space="preserve"> перетворити </w:t>
      </w:r>
      <w:r>
        <w:fldChar w:fldCharType="begin"/>
      </w:r>
      <w:r>
        <w:instrText xml:space="preserve"> HYPERLINK "https://uk.wikipedia.org/wiki/%D0%84%D0%A1" \o "ЄС" </w:instrText>
      </w:r>
      <w:r>
        <w:fldChar w:fldCharType="separate"/>
      </w:r>
      <w:r>
        <w:rPr>
          <w:rStyle w:val="3"/>
          <w:sz w:val="28"/>
          <w:lang w:val="uk-UA"/>
        </w:rPr>
        <w:t>ЄС</w:t>
      </w:r>
      <w:r>
        <w:rPr>
          <w:rStyle w:val="3"/>
          <w:sz w:val="28"/>
          <w:lang w:val="uk-UA"/>
        </w:rPr>
        <w:fldChar w:fldCharType="end"/>
      </w:r>
      <w:r>
        <w:rPr>
          <w:sz w:val="28"/>
          <w:lang w:val="uk-UA"/>
        </w:rPr>
        <w:t> у найбільш інноваційну, конкурентоздатну і динамічну економіку у світі, у заснований на знаннях, економічний простір.</w:t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Реалізація Лісабонської стратегії обумовлює високі витрати на освіту.  У 2005-2014 р. ці витрати у ВНД становили від 4,1% в Греції та 4,3% в Італії до понад 5% в Нідерландах, Німеччині, Франції Австрії та 8,7% в Данії</w:t>
      </w:r>
      <w:r>
        <w:rPr>
          <w:sz w:val="28"/>
        </w:rPr>
        <w:t xml:space="preserve"> [</w:t>
      </w:r>
      <w:r>
        <w:rPr>
          <w:sz w:val="28"/>
          <w:lang w:val="uk-UA"/>
        </w:rPr>
        <w:t>1,242</w:t>
      </w:r>
      <w:r>
        <w:rPr>
          <w:sz w:val="28"/>
        </w:rPr>
        <w:t>]</w:t>
      </w:r>
      <w:r>
        <w:rPr>
          <w:sz w:val="28"/>
          <w:lang w:val="uk-UA"/>
        </w:rPr>
        <w:t xml:space="preserve">. Такі витрати поряд з іншими чинниками обумовили високі рейтингові позиції країн за Індексом глобальної конкурентоспроможності, де, за даними на 2015-2016 р. в першу десятку увійшли Німеччина, Нідерланди, Фінляндія, Швеція та Велика Британія </w:t>
      </w:r>
      <w:r>
        <w:rPr>
          <w:sz w:val="28"/>
        </w:rPr>
        <w:t>[</w:t>
      </w:r>
      <w:r>
        <w:rPr>
          <w:sz w:val="28"/>
          <w:lang w:val="uk-UA"/>
        </w:rPr>
        <w:t>2</w:t>
      </w:r>
      <w:r>
        <w:rPr>
          <w:sz w:val="28"/>
        </w:rPr>
        <w:t>]</w:t>
      </w:r>
      <w:r>
        <w:rPr>
          <w:sz w:val="28"/>
          <w:lang w:val="uk-UA"/>
        </w:rPr>
        <w:t xml:space="preserve">. За Глобальним інноваційним індексом  у першу десятку країн-лідерів у 2015 р. увійшли Нідерланди, Швеція та Велика Британія </w:t>
      </w:r>
      <w:r>
        <w:rPr>
          <w:sz w:val="28"/>
        </w:rPr>
        <w:t>[</w:t>
      </w:r>
      <w:r>
        <w:rPr>
          <w:sz w:val="28"/>
          <w:lang w:val="uk-UA"/>
        </w:rPr>
        <w:t>3</w:t>
      </w:r>
      <w:r>
        <w:rPr>
          <w:sz w:val="28"/>
        </w:rPr>
        <w:t>]</w:t>
      </w:r>
      <w:r>
        <w:rPr>
          <w:sz w:val="28"/>
          <w:lang w:val="uk-UA"/>
        </w:rPr>
        <w:t xml:space="preserve">. </w:t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Для всіх країн ЄС характерні високі витрати на охорону здоров</w:t>
      </w:r>
      <w:r>
        <w:rPr>
          <w:sz w:val="28"/>
          <w:szCs w:val="28"/>
          <w:lang w:val="uk-UA"/>
        </w:rPr>
        <w:t>’</w:t>
      </w:r>
      <w:r>
        <w:rPr>
          <w:sz w:val="28"/>
          <w:lang w:val="uk-UA"/>
        </w:rPr>
        <w:t xml:space="preserve">я. Ці витрати варіюють від 7,1% ВНД в Люксембурзі до понад 11% в Німеччині, Бельгії, Франції, Австрії, та досягають 12,9% в Нідерландах [1,238]. Наслідком ефективної системи охорони здоров’я, зокрема, стало підвищення тривалості життя громадян, яка в усіх «старих членах» ЄС становить понад 80 років.    </w:t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Інвестиції в людський  капітал обумовили високі показники Індексу людського розвитку, за яким в десятку країн-лідерів входять «старі члени ЄС» Данія, Нідерланди, Німеччина та Ірландія, а найнижчу 29 позицію серед 188 досліджуваних країн посідає Греція. </w:t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В умовах загострення глобальної конкуренції та внаслідок реалізації політики розширення перед Євросоюзом постають нові проблеми. По-перше, внаслідок надто низької народжуваності, що має місце в усіх країнах Євросоюзу, гостро постають демографічні проблеми. Протягом  2010-2015 років річні темпи росту чисельності населення варіювали від мінус одного відсотка в Німеччині і нуля в Греції до 0,4% у Данії, Бельгії та Австрії та 1,3% в Люксембурзі [1,234]. Наслідком цього є стагнація чисельності корінного населення і його прогресуюче старіння,  скорочення ресурсу робочої сили, а тому зростання податкового тиску на працюючих для соціального забезпечення пенсіонерів і непрацездатних. Скорочення ресурсу робочої сили та еміграція з країн Євросоюзу сприяють зростанню імміграції з інших країн. За оцінками, у найближчі 25 років 75% приросту населення в країнах Західної Європи відбудеться саме за рахунок міжнародної міграції і більш високої народжуваності в сім’ях мігрантів. </w:t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По-друге, не менш гостро стоїть проблема безробіття. У2008-2013 р. його рівень варіював від 4,9% в Австрії, понад 8% в Швеції, Бельгії, Фінляндії до 13% в Ірландії, 26,1% в Іспанії та 27,3% в Греції [1,254]. Це потребує вдосконалення регулювання міграційних процесів та політики на ринку праці Співтовариства.          </w:t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По-третє, свого вирішення потребують глобальні проблеми, що стоять перед світовою спільнотою - проблеми захисту довкілля внаслідок стрімкого технологічного розвитку, продовольчого та енергетичного забезпечення. </w:t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По-четверте, значні зміни відбуваються на ринку праці  в умовах розвитку суспільства знань, що супроводжується швидким ростом інформаційних і комунікаційних технологій, де зростає попит на більш високий рівень кваліфікації і нові професії, виникають нові форми найму і зростає пропозиція тимчасової зайнятості. Ці зміни несуть як нові можливості, так і нові ризики, адже закріплюються існуючі форми соціальної виключеності.</w:t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Нарешті, справжнім випробовуванням для країн ЄС стали міграційні потоки в Європу, які в 2015 р. перевищили 1 млн. чол., що означає навантаження на ринок праці, соціальні програми, потребує вирішення низки соціальних проблем.</w:t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Крім згаданих проблем Європейська Рада відмічає повільне економічне зростання в країнах ЄС, зростаючі обсяги зовнішнього боргу та ін. Вирішити нагальні проблеми покликана прийнята </w:t>
      </w:r>
      <w:r>
        <w:fldChar w:fldCharType="begin"/>
      </w:r>
      <w:r>
        <w:instrText xml:space="preserve"> HYPERLINK "https://uk.wikipedia.org/wiki/%D0%84%D0%B2%D1%80%D0%BE%D0%BF%D0%B5%D0%B9%D1%81%D1%8C%D0%BA%D0%B0_%D0%A0%D0%B0%D0%B4%D0%B0" \o "Європейська Рада" </w:instrText>
      </w:r>
      <w:r>
        <w:fldChar w:fldCharType="separate"/>
      </w:r>
      <w:r>
        <w:rPr>
          <w:rStyle w:val="3"/>
          <w:sz w:val="28"/>
          <w:lang w:val="uk-UA"/>
        </w:rPr>
        <w:t>Європейською Радою</w:t>
      </w:r>
      <w:r>
        <w:rPr>
          <w:rStyle w:val="3"/>
          <w:sz w:val="28"/>
          <w:lang w:val="uk-UA"/>
        </w:rPr>
        <w:fldChar w:fldCharType="end"/>
      </w:r>
      <w:r>
        <w:rPr>
          <w:sz w:val="28"/>
          <w:lang w:val="uk-UA"/>
        </w:rPr>
        <w:t> навесні 2010 р. стратегія соціально-економічного розвитку </w:t>
      </w:r>
      <w:r>
        <w:fldChar w:fldCharType="begin"/>
      </w:r>
      <w:r>
        <w:instrText xml:space="preserve"> HYPERLINK "https://uk.wikipedia.org/wiki/%D0%84%D0%B2%D1%80%D0%BE%D0%BF%D0%B5%D0%B9%D1%81%D1%8C%D0%BA%D0%B8%D0%B9_%D0%A1%D0%BE%D1%8E%D0%B7" \o "Європейський Союз" </w:instrText>
      </w:r>
      <w:r>
        <w:fldChar w:fldCharType="separate"/>
      </w:r>
      <w:r>
        <w:rPr>
          <w:rStyle w:val="3"/>
          <w:sz w:val="28"/>
          <w:lang w:val="uk-UA"/>
        </w:rPr>
        <w:t>Євросоюзу</w:t>
      </w:r>
      <w:r>
        <w:rPr>
          <w:rStyle w:val="3"/>
          <w:sz w:val="28"/>
          <w:lang w:val="uk-UA"/>
        </w:rPr>
        <w:fldChar w:fldCharType="end"/>
      </w:r>
      <w:r>
        <w:rPr>
          <w:sz w:val="28"/>
          <w:lang w:val="uk-UA"/>
        </w:rPr>
        <w:t xml:space="preserve"> «Європа 2020».  Нова стратегія базується на таких ключових сферах, як знання та інновації, стала економіка та вища зайнятість і соціальне залучення. </w:t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Отже, в умовах сучасного світового розвитку соціальна політика розуміється як продуктивний фактор, який буде задіяно для досягнення найбільш конкурентоспроможної і динамічної, базованої на знаннях економіки, що задекларовано в угодах Лісабонської ради.  </w:t>
      </w:r>
    </w:p>
    <w:p>
      <w:pPr>
        <w:jc w:val="both"/>
        <w:rPr>
          <w:sz w:val="28"/>
          <w:lang w:val="uk-UA"/>
        </w:rPr>
      </w:pPr>
    </w:p>
    <w:p>
      <w:pPr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</w:t>
      </w:r>
      <w:r>
        <w:rPr>
          <w:i/>
          <w:sz w:val="28"/>
          <w:lang w:val="uk-UA"/>
        </w:rPr>
        <w:t>Список літератури:</w:t>
      </w:r>
    </w:p>
    <w:p>
      <w:pPr>
        <w:pStyle w:val="5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</w:rPr>
      </w:pPr>
      <w:r>
        <w:rPr>
          <w:sz w:val="28"/>
          <w:lang w:val="en-GB"/>
        </w:rPr>
        <w:t>UNDP.</w:t>
      </w:r>
      <w:r>
        <w:rPr>
          <w:sz w:val="28"/>
          <w:lang w:val="uk-UA"/>
        </w:rPr>
        <w:t xml:space="preserve"> </w:t>
      </w:r>
      <w:r>
        <w:rPr>
          <w:sz w:val="28"/>
          <w:lang w:val="en-GB"/>
        </w:rPr>
        <w:t xml:space="preserve">Human Development Report 2015. </w:t>
      </w:r>
      <w:r>
        <w:rPr>
          <w:sz w:val="28"/>
          <w:lang w:val="en-US"/>
        </w:rPr>
        <w:t xml:space="preserve">Work for Human Development.  </w:t>
      </w:r>
      <w:r>
        <w:rPr>
          <w:sz w:val="28"/>
        </w:rPr>
        <w:t xml:space="preserve">– Режим доступу: </w:t>
      </w:r>
      <w:r>
        <w:rPr>
          <w:sz w:val="28"/>
          <w:lang w:val="en-US"/>
        </w:rPr>
        <w:t>http://hdr.undp.org/en/2015-report</w:t>
      </w:r>
      <w:r>
        <w:rPr>
          <w:sz w:val="28"/>
        </w:rPr>
        <w:t>.</w:t>
      </w:r>
    </w:p>
    <w:p>
      <w:pPr>
        <w:pStyle w:val="5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Рейтинг глобальної конкурентоспроможності 2015-2016.</w:t>
      </w:r>
      <w:r>
        <w:rPr>
          <w:sz w:val="28"/>
          <w:szCs w:val="28"/>
        </w:rPr>
        <w:t xml:space="preserve"> – </w:t>
      </w:r>
      <w:r>
        <w:rPr>
          <w:sz w:val="28"/>
        </w:rPr>
        <w:t>Режим доступу:</w:t>
      </w:r>
    </w:p>
    <w:p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fldChar w:fldCharType="begin"/>
      </w:r>
      <w:r>
        <w:instrText xml:space="preserve"> HYPERLINK "http://gtmarket.ru/ratings/global-competitiveness-index/info" </w:instrText>
      </w:r>
      <w:r>
        <w:fldChar w:fldCharType="separate"/>
      </w:r>
      <w:r>
        <w:rPr>
          <w:rStyle w:val="3"/>
          <w:sz w:val="28"/>
          <w:szCs w:val="28"/>
          <w:lang w:val="uk-UA"/>
        </w:rPr>
        <w:t>http://gtmarket.ru/ratings/global-competitiveness-index/info</w:t>
      </w:r>
      <w:r>
        <w:rPr>
          <w:rStyle w:val="3"/>
          <w:sz w:val="28"/>
          <w:szCs w:val="28"/>
          <w:lang w:val="uk-UA"/>
        </w:rPr>
        <w:fldChar w:fldCharType="end"/>
      </w:r>
    </w:p>
    <w:p>
      <w:pPr>
        <w:pStyle w:val="5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Глобальний інноваційний індекс 2015. </w:t>
      </w:r>
      <w:r>
        <w:rPr>
          <w:sz w:val="28"/>
          <w:szCs w:val="28"/>
        </w:rPr>
        <w:t xml:space="preserve">– </w:t>
      </w:r>
      <w:r>
        <w:rPr>
          <w:sz w:val="28"/>
        </w:rPr>
        <w:t xml:space="preserve">Режим доступу: </w:t>
      </w:r>
    </w:p>
    <w:p>
      <w:pPr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http://www.wipo.int/econ_stat/ru/economics/gii/</w:t>
      </w:r>
    </w:p>
    <w:p>
      <w:pPr>
        <w:pStyle w:val="5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Європи в 2015 р. приїхав мільйон мігрантів. </w:t>
      </w:r>
      <w:r>
        <w:rPr>
          <w:sz w:val="28"/>
          <w:szCs w:val="28"/>
        </w:rPr>
        <w:t xml:space="preserve">– </w:t>
      </w:r>
      <w:r>
        <w:rPr>
          <w:sz w:val="28"/>
        </w:rPr>
        <w:t xml:space="preserve">Режим доступу: </w:t>
      </w:r>
      <w:r>
        <w:rPr>
          <w:sz w:val="28"/>
          <w:lang w:val="uk-UA"/>
        </w:rPr>
        <w:t>http://ipress.ua/news/do_yevropy_v_2015_rotsi_pryihaly_milyon_migrantiv_149023.html</w:t>
      </w:r>
      <w:r>
        <w:rPr>
          <w:sz w:val="28"/>
        </w:rPr>
        <w:t>.</w:t>
      </w:r>
    </w:p>
    <w:p>
      <w:pPr>
        <w:pStyle w:val="5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Европа 2020. Материал из Википедии — свободной энциклопедии. </w:t>
      </w:r>
      <w:r>
        <w:rPr>
          <w:sz w:val="28"/>
          <w:szCs w:val="28"/>
        </w:rPr>
        <w:t xml:space="preserve">– </w:t>
      </w:r>
      <w:r>
        <w:rPr>
          <w:sz w:val="28"/>
        </w:rPr>
        <w:t xml:space="preserve">Режим доступу: </w:t>
      </w:r>
      <w:r>
        <w:rPr>
          <w:sz w:val="28"/>
          <w:lang w:val="uk-UA"/>
        </w:rPr>
        <w:t>https://ru.wikipedia.org/wiki/</w:t>
      </w:r>
      <w:r>
        <w:rPr>
          <w:sz w:val="28"/>
          <w:szCs w:val="28"/>
          <w:lang w:val="uk-UA"/>
        </w:rPr>
        <w:t xml:space="preserve">                             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410"/>
    <w:multiLevelType w:val="multilevel"/>
    <w:tmpl w:val="0C88741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D22B4"/>
    <w:rsid w:val="32FD50B3"/>
    <w:rsid w:val="7B3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uk-UA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widowControl w:val="0"/>
      <w:autoSpaceDE w:val="0"/>
      <w:autoSpaceDN w:val="0"/>
      <w:adjustRightInd w:val="0"/>
      <w:ind w:left="720"/>
      <w:contextualSpacing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2017-10-31T21:34:00Z</dcterms:created>
  <dc:creator>User</dc:creator>
  <cp:lastModifiedBy>User</cp:lastModifiedBy>
  <dcterms:modified xsi:type="dcterms:W3CDTF">2017-11-16T06:52:45Z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