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34" w:rsidRPr="00843163" w:rsidRDefault="0005073A" w:rsidP="000507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05073A">
        <w:rPr>
          <w:rFonts w:ascii="Times New Roman" w:hAnsi="Times New Roman" w:cs="Times New Roman"/>
          <w:b/>
          <w:sz w:val="28"/>
          <w:szCs w:val="24"/>
          <w:lang w:val="ru-RU"/>
        </w:rPr>
        <w:t xml:space="preserve">Леонид </w:t>
      </w:r>
      <w:proofErr w:type="spellStart"/>
      <w:r w:rsidRPr="0005073A">
        <w:rPr>
          <w:rFonts w:ascii="Times New Roman" w:hAnsi="Times New Roman" w:cs="Times New Roman"/>
          <w:b/>
          <w:sz w:val="28"/>
          <w:szCs w:val="24"/>
          <w:lang w:val="ru-RU"/>
        </w:rPr>
        <w:t>Кияница</w:t>
      </w:r>
      <w:proofErr w:type="spellEnd"/>
      <w:r w:rsidR="00F03E9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</w:p>
    <w:p w:rsidR="0005073A" w:rsidRPr="0005073A" w:rsidRDefault="0005073A" w:rsidP="000507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5073A" w:rsidRDefault="0005073A" w:rsidP="0005073A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05073A">
        <w:rPr>
          <w:rFonts w:ascii="Times New Roman" w:hAnsi="Times New Roman" w:cs="Times New Roman"/>
          <w:i/>
          <w:sz w:val="28"/>
          <w:szCs w:val="24"/>
        </w:rPr>
        <w:t>Маг</w:t>
      </w:r>
      <w:proofErr w:type="spellStart"/>
      <w:r w:rsidRPr="0005073A">
        <w:rPr>
          <w:rFonts w:ascii="Times New Roman" w:hAnsi="Times New Roman" w:cs="Times New Roman"/>
          <w:i/>
          <w:sz w:val="28"/>
          <w:szCs w:val="24"/>
          <w:lang w:val="ru-RU"/>
        </w:rPr>
        <w:t>истр</w:t>
      </w:r>
      <w:proofErr w:type="spellEnd"/>
      <w:r w:rsidRPr="0005073A">
        <w:rPr>
          <w:rFonts w:ascii="Times New Roman" w:hAnsi="Times New Roman" w:cs="Times New Roman"/>
          <w:i/>
          <w:sz w:val="28"/>
          <w:szCs w:val="24"/>
          <w:lang w:val="ru-RU"/>
        </w:rPr>
        <w:t xml:space="preserve"> политических наук, в 2014 г. закончил аспирантуру на кафедре политологии Национального университета «</w:t>
      </w:r>
      <w:proofErr w:type="spellStart"/>
      <w:r w:rsidRPr="0005073A">
        <w:rPr>
          <w:rFonts w:ascii="Times New Roman" w:hAnsi="Times New Roman" w:cs="Times New Roman"/>
          <w:i/>
          <w:sz w:val="28"/>
          <w:szCs w:val="24"/>
          <w:lang w:val="ru-RU"/>
        </w:rPr>
        <w:t>Киево-Могилянская</w:t>
      </w:r>
      <w:proofErr w:type="spellEnd"/>
      <w:r w:rsidRPr="0005073A">
        <w:rPr>
          <w:rFonts w:ascii="Times New Roman" w:hAnsi="Times New Roman" w:cs="Times New Roman"/>
          <w:i/>
          <w:sz w:val="28"/>
          <w:szCs w:val="24"/>
          <w:lang w:val="ru-RU"/>
        </w:rPr>
        <w:t xml:space="preserve"> академия» </w:t>
      </w:r>
      <w:r w:rsidR="00A47867">
        <w:rPr>
          <w:rFonts w:ascii="Times New Roman" w:hAnsi="Times New Roman" w:cs="Times New Roman"/>
          <w:i/>
          <w:sz w:val="28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ru-RU"/>
        </w:rPr>
        <w:t>Киев, Украина</w:t>
      </w:r>
      <w:r w:rsidR="00A47867">
        <w:rPr>
          <w:rFonts w:ascii="Times New Roman" w:hAnsi="Times New Roman" w:cs="Times New Roman"/>
          <w:i/>
          <w:sz w:val="28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4"/>
          <w:lang w:val="ru-RU"/>
        </w:rPr>
        <w:t>.</w:t>
      </w:r>
    </w:p>
    <w:p w:rsidR="0005073A" w:rsidRPr="0005073A" w:rsidRDefault="0005073A" w:rsidP="0005073A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4"/>
          <w:lang w:val="ru-RU"/>
        </w:rPr>
      </w:pPr>
    </w:p>
    <w:p w:rsidR="0005073A" w:rsidRDefault="00A47867" w:rsidP="0005073A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 xml:space="preserve">Master of </w:t>
      </w:r>
      <w:r w:rsidR="0005073A">
        <w:rPr>
          <w:rFonts w:ascii="Times New Roman" w:hAnsi="Times New Roman" w:cs="Times New Roman"/>
          <w:i/>
          <w:sz w:val="28"/>
          <w:szCs w:val="24"/>
          <w:lang w:val="en-US"/>
        </w:rPr>
        <w:t>Political Science</w:t>
      </w:r>
      <w:r w:rsidR="00144EB6">
        <w:rPr>
          <w:rFonts w:ascii="Times New Roman" w:hAnsi="Times New Roman" w:cs="Times New Roman"/>
          <w:i/>
          <w:sz w:val="28"/>
          <w:szCs w:val="24"/>
          <w:lang w:val="en-US"/>
        </w:rPr>
        <w:t>s, completed the Post-Graduate S</w:t>
      </w:r>
      <w:r w:rsidR="0005073A">
        <w:rPr>
          <w:rFonts w:ascii="Times New Roman" w:hAnsi="Times New Roman" w:cs="Times New Roman"/>
          <w:i/>
          <w:sz w:val="28"/>
          <w:szCs w:val="24"/>
          <w:lang w:val="en-US"/>
        </w:rPr>
        <w:t xml:space="preserve">tudies’ </w:t>
      </w:r>
      <w:proofErr w:type="spellStart"/>
      <w:r w:rsidR="0005073A">
        <w:rPr>
          <w:rFonts w:ascii="Times New Roman" w:hAnsi="Times New Roman" w:cs="Times New Roman"/>
          <w:i/>
          <w:sz w:val="28"/>
          <w:szCs w:val="24"/>
          <w:lang w:val="en-US"/>
        </w:rPr>
        <w:t>programme</w:t>
      </w:r>
      <w:proofErr w:type="spellEnd"/>
      <w:r w:rsidR="0005073A">
        <w:rPr>
          <w:rFonts w:ascii="Times New Roman" w:hAnsi="Times New Roman" w:cs="Times New Roman"/>
          <w:i/>
          <w:sz w:val="28"/>
          <w:szCs w:val="24"/>
          <w:lang w:val="en-US"/>
        </w:rPr>
        <w:t xml:space="preserve"> at the Chair of Political Science, National University “Kyiv-</w:t>
      </w:r>
      <w:proofErr w:type="spellStart"/>
      <w:r w:rsidR="0005073A">
        <w:rPr>
          <w:rFonts w:ascii="Times New Roman" w:hAnsi="Times New Roman" w:cs="Times New Roman"/>
          <w:i/>
          <w:sz w:val="28"/>
          <w:szCs w:val="24"/>
          <w:lang w:val="en-US"/>
        </w:rPr>
        <w:t>Mohyla</w:t>
      </w:r>
      <w:proofErr w:type="spellEnd"/>
      <w:r w:rsidR="0005073A">
        <w:rPr>
          <w:rFonts w:ascii="Times New Roman" w:hAnsi="Times New Roman" w:cs="Times New Roman"/>
          <w:i/>
          <w:sz w:val="28"/>
          <w:szCs w:val="24"/>
          <w:lang w:val="en-US"/>
        </w:rPr>
        <w:t xml:space="preserve"> Academy”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 xml:space="preserve"> in 2014 (</w:t>
      </w:r>
      <w:r w:rsidR="0005073A">
        <w:rPr>
          <w:rFonts w:ascii="Times New Roman" w:hAnsi="Times New Roman" w:cs="Times New Roman"/>
          <w:i/>
          <w:sz w:val="28"/>
          <w:szCs w:val="24"/>
          <w:lang w:val="en-US"/>
        </w:rPr>
        <w:t>Kyiv, Ukraine</w:t>
      </w:r>
      <w:r w:rsidRPr="00A47867">
        <w:rPr>
          <w:rFonts w:ascii="Times New Roman" w:hAnsi="Times New Roman" w:cs="Times New Roman"/>
          <w:i/>
          <w:sz w:val="28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.</w:t>
      </w:r>
    </w:p>
    <w:p w:rsidR="0005073A" w:rsidRDefault="0005073A" w:rsidP="0005073A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</w:p>
    <w:p w:rsidR="00A47867" w:rsidRDefault="00A47867" w:rsidP="0005073A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A47867">
        <w:rPr>
          <w:rFonts w:ascii="Times New Roman" w:hAnsi="Times New Roman" w:cs="Times New Roman"/>
          <w:b/>
          <w:i/>
          <w:sz w:val="28"/>
          <w:szCs w:val="24"/>
          <w:lang w:val="ru-RU"/>
        </w:rPr>
        <w:t>Рецензент: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="00BA4F93">
        <w:rPr>
          <w:rFonts w:ascii="Times New Roman" w:hAnsi="Times New Roman" w:cs="Times New Roman"/>
          <w:i/>
          <w:sz w:val="28"/>
          <w:szCs w:val="24"/>
          <w:lang w:val="ru-RU"/>
        </w:rPr>
        <w:t xml:space="preserve">профессор </w:t>
      </w:r>
      <w:r w:rsidR="00BA4F93" w:rsidRPr="00A47867">
        <w:rPr>
          <w:rFonts w:ascii="Times New Roman" w:hAnsi="Times New Roman" w:cs="Times New Roman"/>
          <w:i/>
          <w:sz w:val="28"/>
          <w:szCs w:val="24"/>
          <w:lang w:val="ru-RU"/>
        </w:rPr>
        <w:t>Валентин Михайлович</w:t>
      </w:r>
      <w:r w:rsidR="00BA4F93" w:rsidRPr="00A47867">
        <w:rPr>
          <w:rFonts w:ascii="Times New Roman" w:hAnsi="Times New Roman" w:cs="Times New Roman"/>
          <w:i/>
          <w:sz w:val="28"/>
          <w:szCs w:val="24"/>
          <w:lang w:val="ru-RU"/>
        </w:rPr>
        <w:t xml:space="preserve"> </w:t>
      </w:r>
      <w:proofErr w:type="spellStart"/>
      <w:r w:rsidRPr="00A47867">
        <w:rPr>
          <w:rFonts w:ascii="Times New Roman" w:hAnsi="Times New Roman" w:cs="Times New Roman"/>
          <w:i/>
          <w:sz w:val="28"/>
          <w:szCs w:val="24"/>
          <w:lang w:val="ru-RU"/>
        </w:rPr>
        <w:t>Якушик</w:t>
      </w:r>
      <w:proofErr w:type="spellEnd"/>
      <w:r w:rsidRPr="00A47867">
        <w:rPr>
          <w:rFonts w:ascii="Times New Roman" w:hAnsi="Times New Roman" w:cs="Times New Roman"/>
          <w:i/>
          <w:sz w:val="28"/>
          <w:szCs w:val="24"/>
          <w:lang w:val="ru-RU"/>
        </w:rPr>
        <w:t>, доктор политических наук, кандидат юридических наук (Национальный университет «</w:t>
      </w:r>
      <w:proofErr w:type="spellStart"/>
      <w:r w:rsidRPr="00A47867">
        <w:rPr>
          <w:rFonts w:ascii="Times New Roman" w:hAnsi="Times New Roman" w:cs="Times New Roman"/>
          <w:i/>
          <w:sz w:val="28"/>
          <w:szCs w:val="24"/>
          <w:lang w:val="ru-RU"/>
        </w:rPr>
        <w:t>Киев</w:t>
      </w:r>
      <w:r w:rsidR="00BA4F93">
        <w:rPr>
          <w:rFonts w:ascii="Times New Roman" w:hAnsi="Times New Roman" w:cs="Times New Roman"/>
          <w:i/>
          <w:sz w:val="28"/>
          <w:szCs w:val="24"/>
          <w:lang w:val="ru-RU"/>
        </w:rPr>
        <w:t>о</w:t>
      </w:r>
      <w:r w:rsidRPr="00A47867">
        <w:rPr>
          <w:rFonts w:ascii="Times New Roman" w:hAnsi="Times New Roman" w:cs="Times New Roman"/>
          <w:i/>
          <w:sz w:val="28"/>
          <w:szCs w:val="24"/>
          <w:lang w:val="ru-RU"/>
        </w:rPr>
        <w:t>-Могилянская</w:t>
      </w:r>
      <w:proofErr w:type="spellEnd"/>
      <w:r w:rsidRPr="00A47867">
        <w:rPr>
          <w:rFonts w:ascii="Times New Roman" w:hAnsi="Times New Roman" w:cs="Times New Roman"/>
          <w:i/>
          <w:sz w:val="28"/>
          <w:szCs w:val="24"/>
          <w:lang w:val="ru-RU"/>
        </w:rPr>
        <w:t xml:space="preserve"> академия», Киев, Украина). </w:t>
      </w:r>
    </w:p>
    <w:p w:rsidR="00A47867" w:rsidRDefault="00A47867" w:rsidP="0005073A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4"/>
          <w:lang w:val="ru-RU"/>
        </w:rPr>
      </w:pPr>
    </w:p>
    <w:p w:rsidR="0005073A" w:rsidRDefault="00BA4F93" w:rsidP="000507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Региональные стратегии </w:t>
      </w:r>
      <w:r w:rsidR="0005073A" w:rsidRPr="0005073A">
        <w:rPr>
          <w:rFonts w:ascii="Times New Roman" w:hAnsi="Times New Roman" w:cs="Times New Roman"/>
          <w:b/>
          <w:sz w:val="28"/>
          <w:szCs w:val="24"/>
          <w:lang w:val="ru-RU"/>
        </w:rPr>
        <w:t>Саудовской Аравии и Катара на Ближнем Востоке в контек</w:t>
      </w:r>
      <w:bookmarkStart w:id="0" w:name="_GoBack"/>
      <w:bookmarkEnd w:id="0"/>
      <w:r w:rsidR="0005073A" w:rsidRPr="0005073A">
        <w:rPr>
          <w:rFonts w:ascii="Times New Roman" w:hAnsi="Times New Roman" w:cs="Times New Roman"/>
          <w:b/>
          <w:sz w:val="28"/>
          <w:szCs w:val="24"/>
          <w:lang w:val="ru-RU"/>
        </w:rPr>
        <w:t>сте «Арабской весны»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: сравнительный анализ</w:t>
      </w:r>
      <w:r w:rsidR="0005073A" w:rsidRPr="0005073A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</w:p>
    <w:p w:rsidR="0005073A" w:rsidRDefault="0005073A" w:rsidP="0005073A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4"/>
          <w:lang w:val="ru-RU"/>
        </w:rPr>
      </w:pPr>
    </w:p>
    <w:p w:rsidR="0005073A" w:rsidRDefault="00843163" w:rsidP="0005073A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4"/>
          <w:lang w:val="ru-RU"/>
        </w:rPr>
      </w:pPr>
      <w:r>
        <w:rPr>
          <w:rFonts w:ascii="Times New Roman" w:hAnsi="Times New Roman" w:cs="Times New Roman"/>
          <w:i/>
          <w:sz w:val="28"/>
          <w:szCs w:val="24"/>
          <w:lang w:val="ru-RU"/>
        </w:rPr>
        <w:t>Статья</w:t>
      </w:r>
      <w:r w:rsidR="0005073A">
        <w:rPr>
          <w:rFonts w:ascii="Times New Roman" w:hAnsi="Times New Roman" w:cs="Times New Roman"/>
          <w:i/>
          <w:sz w:val="28"/>
          <w:szCs w:val="24"/>
          <w:lang w:val="ru-RU"/>
        </w:rPr>
        <w:t xml:space="preserve"> посвящен</w:t>
      </w:r>
      <w:r>
        <w:rPr>
          <w:rFonts w:ascii="Times New Roman" w:hAnsi="Times New Roman" w:cs="Times New Roman"/>
          <w:i/>
          <w:sz w:val="28"/>
          <w:szCs w:val="24"/>
          <w:lang w:val="ru-RU"/>
        </w:rPr>
        <w:t>а</w:t>
      </w:r>
      <w:r w:rsidR="0005073A">
        <w:rPr>
          <w:rFonts w:ascii="Times New Roman" w:hAnsi="Times New Roman" w:cs="Times New Roman"/>
          <w:i/>
          <w:sz w:val="28"/>
          <w:szCs w:val="24"/>
          <w:lang w:val="ru-RU"/>
        </w:rPr>
        <w:t xml:space="preserve"> </w:t>
      </w:r>
      <w:r w:rsidR="00BA4F93">
        <w:rPr>
          <w:rFonts w:ascii="Times New Roman" w:hAnsi="Times New Roman" w:cs="Times New Roman"/>
          <w:i/>
          <w:sz w:val="28"/>
          <w:szCs w:val="24"/>
          <w:lang w:val="ru-RU"/>
        </w:rPr>
        <w:t>сравнению региональных стратегий одних из наиболее влиятельных государств современного Ближнего Востока – Королевства Саудовской Аравии и Эмирата Катар – в плане их реакции на революционные процессы, известные</w:t>
      </w:r>
      <w:r w:rsidR="0005073A">
        <w:rPr>
          <w:rFonts w:ascii="Times New Roman" w:hAnsi="Times New Roman" w:cs="Times New Roman"/>
          <w:i/>
          <w:sz w:val="28"/>
          <w:szCs w:val="24"/>
          <w:lang w:val="ru-RU"/>
        </w:rPr>
        <w:t xml:space="preserve"> под названием «Арабской весны». Указываются основные проявления</w:t>
      </w:r>
      <w:r w:rsidR="00BA4F93">
        <w:rPr>
          <w:rFonts w:ascii="Times New Roman" w:hAnsi="Times New Roman" w:cs="Times New Roman"/>
          <w:i/>
          <w:sz w:val="28"/>
          <w:szCs w:val="24"/>
          <w:lang w:val="ru-RU"/>
        </w:rPr>
        <w:t xml:space="preserve"> региональной политики этих государств по итогам «Арабской весны»</w:t>
      </w:r>
      <w:r w:rsidR="0005073A">
        <w:rPr>
          <w:rFonts w:ascii="Times New Roman" w:hAnsi="Times New Roman" w:cs="Times New Roman"/>
          <w:i/>
          <w:sz w:val="28"/>
          <w:szCs w:val="24"/>
          <w:lang w:val="ru-RU"/>
        </w:rPr>
        <w:t>, делаются выводы относительно</w:t>
      </w:r>
      <w:r w:rsidR="00BA4F93">
        <w:rPr>
          <w:rFonts w:ascii="Times New Roman" w:hAnsi="Times New Roman" w:cs="Times New Roman"/>
          <w:i/>
          <w:sz w:val="28"/>
          <w:szCs w:val="24"/>
          <w:lang w:val="ru-RU"/>
        </w:rPr>
        <w:t xml:space="preserve"> их возможного влияния на дальнейшее развитие ближневосточной региональной системы</w:t>
      </w:r>
      <w:r w:rsidR="0005073A">
        <w:rPr>
          <w:rFonts w:ascii="Times New Roman" w:hAnsi="Times New Roman" w:cs="Times New Roman"/>
          <w:i/>
          <w:sz w:val="28"/>
          <w:szCs w:val="24"/>
          <w:lang w:val="ru-RU"/>
        </w:rPr>
        <w:t xml:space="preserve">. </w:t>
      </w:r>
    </w:p>
    <w:p w:rsidR="0005073A" w:rsidRDefault="0005073A" w:rsidP="0005073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5073A" w:rsidRDefault="0005073A" w:rsidP="0005073A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Ключевые слова: </w:t>
      </w:r>
      <w:r>
        <w:rPr>
          <w:rFonts w:ascii="Times New Roman" w:hAnsi="Times New Roman" w:cs="Times New Roman"/>
          <w:i/>
          <w:sz w:val="28"/>
          <w:szCs w:val="24"/>
          <w:lang w:val="ru-RU"/>
        </w:rPr>
        <w:t xml:space="preserve">Ближний Восток, геополитика, Катар, Саудовская Аравия, международные отношения </w:t>
      </w:r>
    </w:p>
    <w:p w:rsidR="00144EB6" w:rsidRDefault="00144EB6" w:rsidP="0005073A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4"/>
          <w:lang w:val="ru-RU"/>
        </w:rPr>
      </w:pPr>
    </w:p>
    <w:p w:rsidR="00F03E9F" w:rsidRDefault="00F03E9F" w:rsidP="00F03E9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Leonid</w:t>
      </w:r>
      <w:r w:rsidRPr="00BA4F9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Kyianytsia</w:t>
      </w:r>
      <w:proofErr w:type="spellEnd"/>
    </w:p>
    <w:p w:rsidR="00F03E9F" w:rsidRDefault="00F03E9F" w:rsidP="00F03E9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Regional </w:t>
      </w:r>
      <w:r w:rsidR="00BA4F93">
        <w:rPr>
          <w:rFonts w:ascii="Times New Roman" w:hAnsi="Times New Roman" w:cs="Times New Roman"/>
          <w:b/>
          <w:sz w:val="28"/>
          <w:szCs w:val="24"/>
          <w:lang w:val="en-US"/>
        </w:rPr>
        <w:t xml:space="preserve">Strategies of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Saudi Arabia and Qatar within the Context of the ‘Arab Spring’</w:t>
      </w:r>
      <w:r w:rsidR="00BA4F93">
        <w:rPr>
          <w:rFonts w:ascii="Times New Roman" w:hAnsi="Times New Roman" w:cs="Times New Roman"/>
          <w:b/>
          <w:sz w:val="28"/>
          <w:szCs w:val="24"/>
          <w:lang w:val="en-US"/>
        </w:rPr>
        <w:t>: A Comparative Analysis</w:t>
      </w:r>
    </w:p>
    <w:p w:rsidR="00F03E9F" w:rsidRPr="00F03E9F" w:rsidRDefault="00F03E9F" w:rsidP="00F03E9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Summary</w:t>
      </w:r>
    </w:p>
    <w:p w:rsidR="0005073A" w:rsidRPr="00F03E9F" w:rsidRDefault="00843163" w:rsidP="000507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4"/>
          <w:lang w:val="en-US"/>
        </w:rPr>
      </w:pPr>
      <w:r w:rsidRPr="00F03E9F">
        <w:rPr>
          <w:rFonts w:ascii="Times New Roman" w:hAnsi="Times New Roman" w:cs="Times New Roman"/>
          <w:sz w:val="28"/>
          <w:szCs w:val="24"/>
          <w:lang w:val="en-US"/>
        </w:rPr>
        <w:t xml:space="preserve">This article deals with </w:t>
      </w:r>
      <w:r w:rsidR="00F44A9A">
        <w:rPr>
          <w:rFonts w:ascii="Times New Roman" w:hAnsi="Times New Roman" w:cs="Times New Roman"/>
          <w:sz w:val="28"/>
          <w:szCs w:val="24"/>
          <w:lang w:val="en-US"/>
        </w:rPr>
        <w:t xml:space="preserve">a comparison of regional strategies of the two of most influential states of the contemporary Middle East, i.e. </w:t>
      </w:r>
      <w:r w:rsidRPr="00F03E9F">
        <w:rPr>
          <w:rFonts w:ascii="Times New Roman" w:hAnsi="Times New Roman" w:cs="Times New Roman"/>
          <w:sz w:val="28"/>
          <w:szCs w:val="24"/>
          <w:lang w:val="en-US"/>
        </w:rPr>
        <w:t xml:space="preserve">the Kingdom of Saudi Arabia and the Emirate of Qatar </w:t>
      </w:r>
      <w:r w:rsidR="00F44A9A">
        <w:rPr>
          <w:rFonts w:ascii="Times New Roman" w:hAnsi="Times New Roman" w:cs="Times New Roman"/>
          <w:sz w:val="28"/>
          <w:szCs w:val="24"/>
          <w:lang w:val="en-US"/>
        </w:rPr>
        <w:t xml:space="preserve">in respect of their responses to </w:t>
      </w:r>
      <w:r w:rsidRPr="00F03E9F">
        <w:rPr>
          <w:rFonts w:ascii="Times New Roman" w:hAnsi="Times New Roman" w:cs="Times New Roman"/>
          <w:sz w:val="28"/>
          <w:szCs w:val="24"/>
          <w:lang w:val="en-US"/>
        </w:rPr>
        <w:t xml:space="preserve">the revolutionary processes colloquially known as the ‘Arab Spring’. The article outlines </w:t>
      </w:r>
      <w:r w:rsidR="00F44A9A">
        <w:rPr>
          <w:rFonts w:ascii="Times New Roman" w:hAnsi="Times New Roman" w:cs="Times New Roman"/>
          <w:sz w:val="28"/>
          <w:szCs w:val="24"/>
          <w:lang w:val="en-US"/>
        </w:rPr>
        <w:t xml:space="preserve">most prominent expressions </w:t>
      </w:r>
      <w:r w:rsidRPr="00F03E9F">
        <w:rPr>
          <w:rFonts w:ascii="Times New Roman" w:hAnsi="Times New Roman" w:cs="Times New Roman"/>
          <w:sz w:val="28"/>
          <w:szCs w:val="24"/>
          <w:lang w:val="en-US"/>
        </w:rPr>
        <w:t xml:space="preserve">of </w:t>
      </w:r>
      <w:r w:rsidR="00F44A9A">
        <w:rPr>
          <w:rFonts w:ascii="Times New Roman" w:hAnsi="Times New Roman" w:cs="Times New Roman"/>
          <w:sz w:val="28"/>
          <w:szCs w:val="24"/>
          <w:lang w:val="en-US"/>
        </w:rPr>
        <w:t xml:space="preserve">these states’ regional policies in the aftermath of the ‘Arab Spring’, while presenting </w:t>
      </w:r>
      <w:r w:rsidRPr="00F03E9F">
        <w:rPr>
          <w:rFonts w:ascii="Times New Roman" w:hAnsi="Times New Roman" w:cs="Times New Roman"/>
          <w:sz w:val="28"/>
          <w:szCs w:val="24"/>
          <w:lang w:val="en-US"/>
        </w:rPr>
        <w:t xml:space="preserve">some inferences as to </w:t>
      </w:r>
      <w:r w:rsidR="00F44A9A">
        <w:rPr>
          <w:rFonts w:ascii="Times New Roman" w:hAnsi="Times New Roman" w:cs="Times New Roman"/>
          <w:sz w:val="28"/>
          <w:szCs w:val="24"/>
          <w:lang w:val="en-US"/>
        </w:rPr>
        <w:t>their potential impact on future developments of the Middle Eastern regional system of international relations</w:t>
      </w:r>
      <w:r w:rsidRPr="00F03E9F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</w:p>
    <w:p w:rsidR="00843163" w:rsidRPr="00F03E9F" w:rsidRDefault="00843163" w:rsidP="0005073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43163" w:rsidRDefault="00843163" w:rsidP="00F03E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  <w:lang w:val="en-US"/>
        </w:rPr>
      </w:pPr>
      <w:r w:rsidRPr="00F03E9F">
        <w:rPr>
          <w:rFonts w:ascii="Times New Roman" w:hAnsi="Times New Roman" w:cs="Times New Roman"/>
          <w:b/>
          <w:sz w:val="28"/>
          <w:szCs w:val="24"/>
          <w:lang w:val="en-US"/>
        </w:rPr>
        <w:t xml:space="preserve">Keywords: </w:t>
      </w:r>
      <w:r w:rsidRPr="00F03E9F">
        <w:rPr>
          <w:rFonts w:ascii="Times New Roman" w:hAnsi="Times New Roman" w:cs="Times New Roman"/>
          <w:sz w:val="28"/>
          <w:szCs w:val="24"/>
          <w:lang w:val="en-US"/>
        </w:rPr>
        <w:t xml:space="preserve">Middle </w:t>
      </w:r>
      <w:proofErr w:type="gramStart"/>
      <w:r w:rsidRPr="00F03E9F">
        <w:rPr>
          <w:rFonts w:ascii="Times New Roman" w:hAnsi="Times New Roman" w:cs="Times New Roman"/>
          <w:sz w:val="28"/>
          <w:szCs w:val="24"/>
          <w:lang w:val="en-US"/>
        </w:rPr>
        <w:t>East</w:t>
      </w:r>
      <w:proofErr w:type="gramEnd"/>
      <w:r w:rsidRPr="00F03E9F">
        <w:rPr>
          <w:rFonts w:ascii="Times New Roman" w:hAnsi="Times New Roman" w:cs="Times New Roman"/>
          <w:sz w:val="28"/>
          <w:szCs w:val="24"/>
          <w:lang w:val="en-US"/>
        </w:rPr>
        <w:t>, geopolitics, Qatar, Saudi Arabia, international relations</w:t>
      </w:r>
    </w:p>
    <w:p w:rsidR="00F03E9F" w:rsidRDefault="00F03E9F" w:rsidP="00F03E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  <w:lang w:val="en-US"/>
        </w:rPr>
      </w:pPr>
    </w:p>
    <w:p w:rsidR="00F03E9F" w:rsidRPr="00F03E9F" w:rsidRDefault="00F03E9F" w:rsidP="00F03E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Reviewer: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Professor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Valentyn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Mykhailovych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Yakushik</w:t>
      </w:r>
      <w:proofErr w:type="spellEnd"/>
      <w:r w:rsidRPr="00F03E9F">
        <w:rPr>
          <w:rFonts w:ascii="Times New Roman" w:hAnsi="Times New Roman" w:cs="Times New Roman"/>
          <w:sz w:val="28"/>
          <w:szCs w:val="24"/>
          <w:lang w:val="en-US"/>
        </w:rPr>
        <w:t>, Doctor of Political Science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F03E9F">
        <w:rPr>
          <w:rFonts w:ascii="Times New Roman" w:hAnsi="Times New Roman" w:cs="Times New Roman"/>
          <w:sz w:val="28"/>
          <w:szCs w:val="24"/>
          <w:lang w:val="en-US"/>
        </w:rPr>
        <w:t>, Candidate o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f Juridical Sciences </w:t>
      </w:r>
      <w:r w:rsidRPr="00F03E9F">
        <w:rPr>
          <w:rFonts w:ascii="Times New Roman" w:hAnsi="Times New Roman" w:cs="Times New Roman"/>
          <w:sz w:val="28"/>
          <w:szCs w:val="24"/>
          <w:lang w:val="en-US"/>
        </w:rPr>
        <w:t>(National University “Kyiv-</w:t>
      </w:r>
      <w:proofErr w:type="spellStart"/>
      <w:r w:rsidRPr="00F03E9F">
        <w:rPr>
          <w:rFonts w:ascii="Times New Roman" w:hAnsi="Times New Roman" w:cs="Times New Roman"/>
          <w:sz w:val="28"/>
          <w:szCs w:val="24"/>
          <w:lang w:val="en-US"/>
        </w:rPr>
        <w:t>Mohyla</w:t>
      </w:r>
      <w:proofErr w:type="spellEnd"/>
      <w:r w:rsidRPr="00F03E9F">
        <w:rPr>
          <w:rFonts w:ascii="Times New Roman" w:hAnsi="Times New Roman" w:cs="Times New Roman"/>
          <w:sz w:val="28"/>
          <w:szCs w:val="24"/>
          <w:lang w:val="en-US"/>
        </w:rPr>
        <w:t xml:space="preserve"> Academy”, Kyiv, Ukraine).</w:t>
      </w:r>
      <w:r w:rsidR="00144EB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F03E9F" w:rsidRDefault="00F03E9F" w:rsidP="0005073A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4"/>
          <w:lang w:val="en-US"/>
        </w:rPr>
      </w:pPr>
    </w:p>
    <w:p w:rsidR="001D6A62" w:rsidRDefault="00BA4F93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Вступление. </w:t>
      </w:r>
      <w:r w:rsidR="005F6B27">
        <w:rPr>
          <w:rFonts w:ascii="Times New Roman" w:hAnsi="Times New Roman" w:cs="Times New Roman"/>
          <w:sz w:val="28"/>
          <w:szCs w:val="24"/>
          <w:lang w:val="ru-RU"/>
        </w:rPr>
        <w:t xml:space="preserve">События, охватившие большинство стран арабского Ближнего Востока имели весьма значительное влияние на расстановку сил внутри региональной системы международных отношений. </w:t>
      </w:r>
      <w:r w:rsidR="00A129B3">
        <w:rPr>
          <w:rFonts w:ascii="Times New Roman" w:hAnsi="Times New Roman" w:cs="Times New Roman"/>
          <w:sz w:val="28"/>
          <w:szCs w:val="24"/>
          <w:lang w:val="ru-RU"/>
        </w:rPr>
        <w:t>На смену предыдущему взгляду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на страны Ближнего Востока как на источник религиозного и политического обскурантизма пришло относительно оптимистическое представление о «новой волне» распространения либ</w:t>
      </w:r>
      <w:r w:rsidR="00A129B3">
        <w:rPr>
          <w:rFonts w:ascii="Times New Roman" w:hAnsi="Times New Roman" w:cs="Times New Roman"/>
          <w:sz w:val="28"/>
          <w:szCs w:val="24"/>
          <w:lang w:val="ru-RU"/>
        </w:rPr>
        <w:t>еральной демократии, якобы нашедшей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свое яркое выражение в событиях на площади </w:t>
      </w:r>
      <w:proofErr w:type="spellStart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Тахрир</w:t>
      </w:r>
      <w:proofErr w:type="spellEnd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в Каире. Тем не менее, такой взгляд на события, </w:t>
      </w:r>
      <w:r w:rsidR="00A129B3">
        <w:rPr>
          <w:rFonts w:ascii="Times New Roman" w:hAnsi="Times New Roman" w:cs="Times New Roman"/>
          <w:sz w:val="28"/>
          <w:szCs w:val="24"/>
          <w:lang w:val="ru-RU"/>
        </w:rPr>
        <w:t xml:space="preserve">которые 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достаточно скоро стали известными под обобщенным названием «Арабская весна», оказался не менее упрощенным, чем</w:t>
      </w:r>
      <w:r w:rsidR="00A129B3">
        <w:rPr>
          <w:rFonts w:ascii="Times New Roman" w:hAnsi="Times New Roman" w:cs="Times New Roman"/>
          <w:sz w:val="28"/>
          <w:szCs w:val="24"/>
          <w:lang w:val="ru-RU"/>
        </w:rPr>
        <w:t xml:space="preserve"> предыдущий дискурс, фокусировавший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внимание внешних наблюдателей исключительно на опасности исламского фундаментализма. Значительный конфликтный потенциал социально-политических трансформаций (или попыток осущес</w:t>
      </w:r>
      <w:r w:rsidR="00A129B3">
        <w:rPr>
          <w:rFonts w:ascii="Times New Roman" w:hAnsi="Times New Roman" w:cs="Times New Roman"/>
          <w:sz w:val="28"/>
          <w:szCs w:val="24"/>
          <w:lang w:val="ru-RU"/>
        </w:rPr>
        <w:t>твления последних), развернувших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ся в ряде ключевых государств Ближнего Востока (Египет, Ливия, Йемен, Сирия), обусловил начало острого кризиса управляемости многих ближневосточных государств, общей дестабилизации ближневосточной 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lastRenderedPageBreak/>
        <w:t>системы региональных отношений и способствовал повышению уровня конфликтности в отношениях ключевых региональных госуда</w:t>
      </w:r>
      <w:r w:rsidR="00A129B3">
        <w:rPr>
          <w:rFonts w:ascii="Times New Roman" w:hAnsi="Times New Roman" w:cs="Times New Roman"/>
          <w:sz w:val="28"/>
          <w:szCs w:val="24"/>
          <w:lang w:val="ru-RU"/>
        </w:rPr>
        <w:t>рств и негосударственных субъектов международных отношений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</w:p>
    <w:p w:rsidR="00A129B3" w:rsidRPr="00A129B3" w:rsidRDefault="00A129B3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В связи с обозначенными выше </w:t>
      </w:r>
      <w:r w:rsidR="00F44A9A">
        <w:rPr>
          <w:rFonts w:ascii="Times New Roman" w:hAnsi="Times New Roman" w:cs="Times New Roman"/>
          <w:sz w:val="28"/>
          <w:szCs w:val="24"/>
          <w:lang w:val="ru-RU"/>
        </w:rPr>
        <w:t>особен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ностями </w:t>
      </w:r>
      <w:r>
        <w:rPr>
          <w:rFonts w:ascii="Times New Roman" w:hAnsi="Times New Roman" w:cs="Times New Roman"/>
          <w:sz w:val="28"/>
          <w:szCs w:val="24"/>
          <w:lang w:val="ru-RU"/>
        </w:rPr>
        <w:t>«Арабской весны» вызывает обоснованный интерес вопрос о последствиях последней с точки зрения баланса сил между ключевыми региональными игроками. В данной статье речь пойдет о двух наиболее влиятельных представителях группы так называемых «нефтяных монархий» Залива – Саудовской Аравии и Катаре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Поэтому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целью этого исследования </w:t>
      </w:r>
      <w:r>
        <w:rPr>
          <w:rFonts w:ascii="Times New Roman" w:hAnsi="Times New Roman" w:cs="Times New Roman"/>
          <w:sz w:val="28"/>
          <w:szCs w:val="24"/>
          <w:lang w:val="ru-RU"/>
        </w:rPr>
        <w:t>и является анализ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 влияния «Арабской весны» на региональные стратегии этих государств, а также его возможных геополитических импликаций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</w:p>
    <w:p w:rsidR="005F6B27" w:rsidRPr="005F6B27" w:rsidRDefault="00BA4F93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Изложение основного материала статьи. </w:t>
      </w:r>
      <w:r>
        <w:rPr>
          <w:rFonts w:ascii="Times New Roman" w:hAnsi="Times New Roman" w:cs="Times New Roman"/>
          <w:sz w:val="28"/>
          <w:szCs w:val="24"/>
          <w:lang w:val="ru-RU"/>
        </w:rPr>
        <w:t>Как отмечает М. Аль-Рашид, «реакция Саудовской Аравии на восстания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в арабском мире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развивалась 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в соответствии с интересами правящего дома, для которого безопасность и сохранение </w:t>
      </w:r>
      <w:proofErr w:type="spellStart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status</w:t>
      </w:r>
      <w:proofErr w:type="spellEnd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quo</w:t>
      </w:r>
      <w:proofErr w:type="spellEnd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является приоритетными </w:t>
      </w:r>
      <w:r w:rsidR="00A129B3">
        <w:rPr>
          <w:rFonts w:ascii="Times New Roman" w:hAnsi="Times New Roman" w:cs="Times New Roman"/>
          <w:sz w:val="28"/>
          <w:szCs w:val="24"/>
          <w:lang w:val="ru-RU"/>
        </w:rPr>
        <w:t>в сравнении с общественными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изменения</w:t>
      </w:r>
      <w:r w:rsidR="00A129B3">
        <w:rPr>
          <w:rFonts w:ascii="Times New Roman" w:hAnsi="Times New Roman" w:cs="Times New Roman"/>
          <w:sz w:val="28"/>
          <w:szCs w:val="24"/>
          <w:lang w:val="ru-RU"/>
        </w:rPr>
        <w:t>ми и демократизацией» [1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,</w:t>
      </w:r>
      <w:r w:rsidR="00A129B3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29]. Соответственно, можно утверждать, что позиция Саудовской Аравии относительно событий «Арабской весны» </w:t>
      </w:r>
      <w:r w:rsidR="00A129B3">
        <w:rPr>
          <w:rFonts w:ascii="Times New Roman" w:hAnsi="Times New Roman" w:cs="Times New Roman"/>
          <w:sz w:val="28"/>
          <w:szCs w:val="24"/>
          <w:lang w:val="ru-RU"/>
        </w:rPr>
        <w:t xml:space="preserve">определялась 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императивом продолжения дальнейшего с</w:t>
      </w:r>
      <w:r w:rsidR="00A129B3">
        <w:rPr>
          <w:rFonts w:ascii="Times New Roman" w:hAnsi="Times New Roman" w:cs="Times New Roman"/>
          <w:sz w:val="28"/>
          <w:szCs w:val="24"/>
          <w:lang w:val="ru-RU"/>
        </w:rPr>
        <w:t xml:space="preserve">уществования власти дома </w:t>
      </w:r>
      <w:proofErr w:type="spellStart"/>
      <w:r w:rsidR="00A129B3">
        <w:rPr>
          <w:rFonts w:ascii="Times New Roman" w:hAnsi="Times New Roman" w:cs="Times New Roman"/>
          <w:sz w:val="28"/>
          <w:szCs w:val="24"/>
          <w:lang w:val="ru-RU"/>
        </w:rPr>
        <w:t>Саудидо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в</w:t>
      </w:r>
      <w:proofErr w:type="spellEnd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, причем основным вызовом для этой власти </w:t>
      </w:r>
      <w:r w:rsidR="001D6A62" w:rsidRPr="005F6B27">
        <w:rPr>
          <w:rFonts w:ascii="Times New Roman" w:hAnsi="Times New Roman" w:cs="Times New Roman"/>
          <w:sz w:val="28"/>
          <w:szCs w:val="24"/>
          <w:lang w:val="ru-RU"/>
        </w:rPr>
        <w:t>считался,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как и в предыдущие десяти</w:t>
      </w:r>
      <w:r w:rsidR="00A129B3">
        <w:rPr>
          <w:rFonts w:ascii="Times New Roman" w:hAnsi="Times New Roman" w:cs="Times New Roman"/>
          <w:sz w:val="28"/>
          <w:szCs w:val="24"/>
          <w:lang w:val="ru-RU"/>
        </w:rPr>
        <w:t>летия, радикальный исламизм [2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]. Поэтому реакция саудовского руководства на события «Арабской весны» была во многом обусловлена сочетанием традиционных моделей сотрудничества-вражды, с одной стороны, и общих опасений относительно усиления радикальных исламистских сил на всем Ближнем Востоке</w:t>
      </w:r>
      <w:r w:rsidR="00A129B3">
        <w:rPr>
          <w:rFonts w:ascii="Times New Roman" w:hAnsi="Times New Roman" w:cs="Times New Roman"/>
          <w:sz w:val="28"/>
          <w:szCs w:val="24"/>
          <w:lang w:val="ru-RU"/>
        </w:rPr>
        <w:t xml:space="preserve"> – с другой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5F6B27" w:rsidRPr="005F6B27" w:rsidRDefault="00A129B3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В пределах «своей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сферы влияния 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Саудовская Аравия продемонстрировала свою стабилизационную, «контрреволюционную» стратегию противодействия </w:t>
      </w:r>
      <w:r>
        <w:rPr>
          <w:rFonts w:ascii="Times New Roman" w:hAnsi="Times New Roman" w:cs="Times New Roman"/>
          <w:sz w:val="28"/>
          <w:szCs w:val="24"/>
          <w:lang w:val="ru-RU"/>
        </w:rPr>
        <w:t>революционным движениям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на примерах Йем</w:t>
      </w:r>
      <w:r>
        <w:rPr>
          <w:rFonts w:ascii="Times New Roman" w:hAnsi="Times New Roman" w:cs="Times New Roman"/>
          <w:sz w:val="28"/>
          <w:szCs w:val="24"/>
          <w:lang w:val="ru-RU"/>
        </w:rPr>
        <w:t>ена и Бахрейна. В случае Йемена следует указ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ать, что правящий в этой стране политический режим был традиционным союзником Саудовской Аравии еще со времен «холодной войны», при</w:t>
      </w:r>
      <w:r w:rsidR="005C1179">
        <w:rPr>
          <w:rFonts w:ascii="Times New Roman" w:hAnsi="Times New Roman" w:cs="Times New Roman"/>
          <w:sz w:val="28"/>
          <w:szCs w:val="24"/>
          <w:lang w:val="ru-RU"/>
        </w:rPr>
        <w:t xml:space="preserve">чем прямое вмешательство </w:t>
      </w:r>
      <w:proofErr w:type="spellStart"/>
      <w:r w:rsidR="005C1179">
        <w:rPr>
          <w:rFonts w:ascii="Times New Roman" w:hAnsi="Times New Roman" w:cs="Times New Roman"/>
          <w:sz w:val="28"/>
          <w:szCs w:val="24"/>
          <w:lang w:val="ru-RU"/>
        </w:rPr>
        <w:t>Саудидо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в</w:t>
      </w:r>
      <w:proofErr w:type="spellEnd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во внутренние дела йеменских племен и государственных образований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началось </w:t>
      </w:r>
      <w:r>
        <w:rPr>
          <w:rFonts w:ascii="Times New Roman" w:hAnsi="Times New Roman" w:cs="Times New Roman"/>
          <w:sz w:val="28"/>
          <w:szCs w:val="24"/>
          <w:lang w:val="ru-RU"/>
        </w:rPr>
        <w:lastRenderedPageBreak/>
        <w:t>еще с 1930-х годов [3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]. Накануне «Арабской весны» Саудовская Аравия значительно усилила свою финансовую и военно-техническую помощь правительству А. </w:t>
      </w:r>
      <w:proofErr w:type="spellStart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Салеха</w:t>
      </w:r>
      <w:proofErr w:type="spellEnd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что 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имело целью способствовать скорейшей победе правительственных сил над шиитскими пов</w:t>
      </w:r>
      <w:r>
        <w:rPr>
          <w:rFonts w:ascii="Times New Roman" w:hAnsi="Times New Roman" w:cs="Times New Roman"/>
          <w:sz w:val="28"/>
          <w:szCs w:val="24"/>
          <w:lang w:val="ru-RU"/>
        </w:rPr>
        <w:t>станцами из движения «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Хути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>», которые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в 2000-х годах активизировали свои действия на юге Йемена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[4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]. Соответственно, начало массовых протестных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выступлений в столице Йемена г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. Сана (январь 2011) вызвал</w:t>
      </w:r>
      <w:r>
        <w:rPr>
          <w:rFonts w:ascii="Times New Roman" w:hAnsi="Times New Roman" w:cs="Times New Roman"/>
          <w:sz w:val="28"/>
          <w:szCs w:val="24"/>
          <w:lang w:val="ru-RU"/>
        </w:rPr>
        <w:t>о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беспокойство саудовского правительства. Тем не менее, влияния и военно-политических возможностей Саудовской Аравии оказалось недостаточно для того, чтобы предоставить прямую помощь А. </w:t>
      </w:r>
      <w:proofErr w:type="spellStart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Салеху</w:t>
      </w:r>
      <w:proofErr w:type="spellEnd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ради подавления антиправительственного движения. Зато Саудовская Аравия сыграла ведущую роль в переговорах между правительством Йемена и оп</w:t>
      </w:r>
      <w:r>
        <w:rPr>
          <w:rFonts w:ascii="Times New Roman" w:hAnsi="Times New Roman" w:cs="Times New Roman"/>
          <w:sz w:val="28"/>
          <w:szCs w:val="24"/>
          <w:lang w:val="ru-RU"/>
        </w:rPr>
        <w:t>позиционными силами, завершившимися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выработкой так называемых Йеменских соглашений. Согласно тексту последних, А. </w:t>
      </w:r>
      <w:proofErr w:type="spellStart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Салех</w:t>
      </w:r>
      <w:proofErr w:type="spellEnd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, находившийся у власти в объединенном Йе</w:t>
      </w:r>
      <w:r>
        <w:rPr>
          <w:rFonts w:ascii="Times New Roman" w:hAnsi="Times New Roman" w:cs="Times New Roman"/>
          <w:sz w:val="28"/>
          <w:szCs w:val="24"/>
          <w:lang w:val="ru-RU"/>
        </w:rPr>
        <w:t>мене с начала 1990-х годов, должен был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добровольно передать влас</w:t>
      </w:r>
      <w:r w:rsidR="00F44A9A">
        <w:rPr>
          <w:rFonts w:ascii="Times New Roman" w:hAnsi="Times New Roman" w:cs="Times New Roman"/>
          <w:sz w:val="28"/>
          <w:szCs w:val="24"/>
          <w:lang w:val="ru-RU"/>
        </w:rPr>
        <w:t xml:space="preserve">ть своему вице-президенту А. 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Мансуру </w:t>
      </w:r>
      <w:proofErr w:type="spellStart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Хади</w:t>
      </w:r>
      <w:proofErr w:type="spellEnd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, получив в обмен гарантии неприкосновенности и свободного выезда за </w:t>
      </w:r>
      <w:r>
        <w:rPr>
          <w:rFonts w:ascii="Times New Roman" w:hAnsi="Times New Roman" w:cs="Times New Roman"/>
          <w:sz w:val="28"/>
          <w:szCs w:val="24"/>
          <w:lang w:val="ru-RU"/>
        </w:rPr>
        <w:t>пределы страны [5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]. В дальнейшем</w:t>
      </w:r>
      <w:r>
        <w:rPr>
          <w:rFonts w:ascii="Times New Roman" w:hAnsi="Times New Roman" w:cs="Times New Roman"/>
          <w:sz w:val="28"/>
          <w:szCs w:val="24"/>
          <w:lang w:val="ru-RU"/>
        </w:rPr>
        <w:t>,</w:t>
      </w:r>
      <w:r w:rsidR="00F44A9A">
        <w:rPr>
          <w:rFonts w:ascii="Times New Roman" w:hAnsi="Times New Roman" w:cs="Times New Roman"/>
          <w:sz w:val="28"/>
          <w:szCs w:val="24"/>
          <w:lang w:val="ru-RU"/>
        </w:rPr>
        <w:t xml:space="preserve"> ослабленной власти А. 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Мансура </w:t>
      </w:r>
      <w:proofErr w:type="spellStart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Хади</w:t>
      </w:r>
      <w:proofErr w:type="spellEnd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и его союзников из числа влиятельных племенных шейхов пришлось противодействовать как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повстанческому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движению «</w:t>
      </w:r>
      <w:proofErr w:type="spellStart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Хути</w:t>
      </w:r>
      <w:proofErr w:type="spellEnd"/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», так и ранее подпольным группам суннитских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 исламистов, родственных с «Аль-Каиде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»,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которые воспользовались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постреволюционной дестабилизацией для расширения масштабов своей деятельности. На данный момент можно утверждать, что правительство Йемена не контролирует значительную часть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своей суверенной территории [6</w:t>
      </w:r>
      <w:r w:rsidR="005F6B27" w:rsidRPr="005F6B27">
        <w:rPr>
          <w:rFonts w:ascii="Times New Roman" w:hAnsi="Times New Roman" w:cs="Times New Roman"/>
          <w:sz w:val="28"/>
          <w:szCs w:val="24"/>
          <w:lang w:val="ru-RU"/>
        </w:rPr>
        <w:t>].</w:t>
      </w:r>
    </w:p>
    <w:p w:rsidR="003A4C02" w:rsidRDefault="005F6B27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В то время как в Йемене саудовское руководство добилось своих целей в плане сохранения своего влияния на внутреннюю политику этого государства, в случае с Бахрейном </w:t>
      </w:r>
      <w:proofErr w:type="spellStart"/>
      <w:r w:rsidRPr="005F6B27">
        <w:rPr>
          <w:rFonts w:ascii="Times New Roman" w:hAnsi="Times New Roman" w:cs="Times New Roman"/>
          <w:sz w:val="28"/>
          <w:szCs w:val="24"/>
          <w:lang w:val="ru-RU"/>
        </w:rPr>
        <w:t>Саудидам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пришлось перейти к прямому применению силы ради недопущения свержения суннитского по своей конфессиональной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принадлежности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монархического режима и замены его потенциально </w:t>
      </w:r>
      <w:proofErr w:type="spellStart"/>
      <w:r w:rsidRPr="005F6B27">
        <w:rPr>
          <w:rFonts w:ascii="Times New Roman" w:hAnsi="Times New Roman" w:cs="Times New Roman"/>
          <w:sz w:val="28"/>
          <w:szCs w:val="24"/>
          <w:lang w:val="ru-RU"/>
        </w:rPr>
        <w:t>проирански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м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правительством, который представлял бы шиитское большинство населения этой страны. После массовых столкновений 14 февраля 2011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г.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между протестующими и силами внутренней б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езопасности Бахрейна, состоявшими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в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основном из наемников из суннитских стран Ближнего Востока, Саудовская Аравия и другие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государства-члены Совета сотрудничества арабских стран Залива (ССАГЗ)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приняли решение о введении своих военно-полицейских контингентов на территорию Бахрейна с тем чтобы противод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ействовать возможному </w:t>
      </w:r>
      <w:r w:rsidR="001C1800">
        <w:rPr>
          <w:rFonts w:ascii="Times New Roman" w:hAnsi="Times New Roman" w:cs="Times New Roman"/>
          <w:sz w:val="28"/>
          <w:szCs w:val="24"/>
          <w:lang w:val="ru-RU"/>
        </w:rPr>
        <w:t>свержению правящей монархии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. Введение на территорию Бахрейна около 1 тыс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саудовских военнослужащих и почти 500 полицейских офицеров из ОАЭ в начале марта 2011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г.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показало готовность Саудовской Аравии и других консер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вативных государств-членов ССАГ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З применять средства военно-политического характера для преодоления угрозы распространения революционной нестабильности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[7, 242]. Предоставленная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Саудовской Аравией военно-политическая поддержка была использована правительством Бахрейна для подавления как открытого протестного движения, так и мелких антиправительственных групп. Последние были объявлены официал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ьной прессой агентами </w:t>
      </w:r>
      <w:r w:rsidR="00F44A9A">
        <w:rPr>
          <w:rFonts w:ascii="Times New Roman" w:hAnsi="Times New Roman" w:cs="Times New Roman"/>
          <w:sz w:val="28"/>
          <w:szCs w:val="24"/>
          <w:lang w:val="ru-RU"/>
        </w:rPr>
        <w:t>«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иранского заговора</w:t>
      </w:r>
      <w:r w:rsidR="00F44A9A">
        <w:rPr>
          <w:rFonts w:ascii="Times New Roman" w:hAnsi="Times New Roman" w:cs="Times New Roman"/>
          <w:sz w:val="28"/>
          <w:szCs w:val="24"/>
          <w:lang w:val="ru-RU"/>
        </w:rPr>
        <w:t>»</w:t>
      </w:r>
      <w:r w:rsidR="001C1800">
        <w:rPr>
          <w:rFonts w:ascii="Times New Roman" w:hAnsi="Times New Roman" w:cs="Times New Roman"/>
          <w:sz w:val="28"/>
          <w:szCs w:val="24"/>
          <w:lang w:val="ru-RU"/>
        </w:rPr>
        <w:t xml:space="preserve"> [1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].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В дальнейшем Бахрейн стал одним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из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наиболее близких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к Са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удовской Аравии государств ССАГ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З, что проявилось, в частности, в активной поддержке правительством Бахрейна планов короля Саудовской Аравии Абдуллы относ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ительно переформатирования ССАГЗ в сторону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превращения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последнего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в полноценный эконо</w:t>
      </w:r>
      <w:r w:rsidR="001C1800">
        <w:rPr>
          <w:rFonts w:ascii="Times New Roman" w:hAnsi="Times New Roman" w:cs="Times New Roman"/>
          <w:sz w:val="28"/>
          <w:szCs w:val="24"/>
          <w:lang w:val="ru-RU"/>
        </w:rPr>
        <w:t>мический и политический союз [1</w:t>
      </w:r>
      <w:r w:rsidR="00F44A9A">
        <w:rPr>
          <w:rFonts w:ascii="Times New Roman" w:hAnsi="Times New Roman" w:cs="Times New Roman"/>
          <w:sz w:val="28"/>
          <w:szCs w:val="24"/>
          <w:lang w:val="ru-RU"/>
        </w:rPr>
        <w:t xml:space="preserve">,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36]. </w:t>
      </w:r>
    </w:p>
    <w:p w:rsidR="005F6B27" w:rsidRPr="005F6B27" w:rsidRDefault="005F6B27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5F6B27">
        <w:rPr>
          <w:rFonts w:ascii="Times New Roman" w:hAnsi="Times New Roman" w:cs="Times New Roman"/>
          <w:sz w:val="28"/>
          <w:szCs w:val="24"/>
          <w:lang w:val="ru-RU"/>
        </w:rPr>
        <w:t>В то время как на субрегиональном уровне Саудовская Аравия успешно выступила в роли ведущей контрреволюционной силы, что позволило ей сохранить свое влияние в таких ключевых государствах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 Аравийского полуострова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, как Йемен и Бахрейн, в пределах Ближне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го Востока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в целом ее политика так же опиралась на принцип противодействия или сдерживания революционных движений как либерального, так и исламистского толка. Характерной в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 этом плане была реакция </w:t>
      </w:r>
      <w:proofErr w:type="spellStart"/>
      <w:r w:rsidR="003A4C02">
        <w:rPr>
          <w:rFonts w:ascii="Times New Roman" w:hAnsi="Times New Roman" w:cs="Times New Roman"/>
          <w:sz w:val="28"/>
          <w:szCs w:val="24"/>
          <w:lang w:val="ru-RU"/>
        </w:rPr>
        <w:t>Саудидо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в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на революционное свержения правящих режимов Туниса, Египта и Ливии. Именно саудовское правительство предоставило политическое убежище свергнутому в январе 2011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г. 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президенту Туниса З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Бен Али, отказавшись удовлетвори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ть 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требования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переходного правительства Т</w:t>
      </w:r>
      <w:r w:rsidR="001C1800">
        <w:rPr>
          <w:rFonts w:ascii="Times New Roman" w:hAnsi="Times New Roman" w:cs="Times New Roman"/>
          <w:sz w:val="28"/>
          <w:szCs w:val="24"/>
          <w:lang w:val="ru-RU"/>
        </w:rPr>
        <w:t>униса о его экстрадиции [1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,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33]. С другой стороны, в случае с Египтом Саудовская Аравия сразу же после отставки Х.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5F6B27">
        <w:rPr>
          <w:rFonts w:ascii="Times New Roman" w:hAnsi="Times New Roman" w:cs="Times New Roman"/>
          <w:sz w:val="28"/>
          <w:szCs w:val="24"/>
          <w:lang w:val="ru-RU"/>
        </w:rPr>
        <w:t>Мубарака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осуществила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ряд шагов, направленных на установление близких связей с новым военным руководством страны. В частности, уже в феврале 2011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г. </w:t>
      </w:r>
      <w:proofErr w:type="spellStart"/>
      <w:r w:rsidRPr="005F6B27">
        <w:rPr>
          <w:rFonts w:ascii="Times New Roman" w:hAnsi="Times New Roman" w:cs="Times New Roman"/>
          <w:sz w:val="28"/>
          <w:szCs w:val="24"/>
          <w:lang w:val="ru-RU"/>
        </w:rPr>
        <w:t>Саудиды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предложили предоставить египетской армии около 4 млрд фунтов стерлингов </w:t>
      </w:r>
      <w:r w:rsidR="001C1800">
        <w:rPr>
          <w:rFonts w:ascii="Times New Roman" w:hAnsi="Times New Roman" w:cs="Times New Roman"/>
          <w:sz w:val="28"/>
          <w:szCs w:val="24"/>
          <w:lang w:val="ru-RU"/>
        </w:rPr>
        <w:t>в форме единовременной субсидии [8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]. В дальнейшем фактическим инструментом саудовского вмешательства во внутреннюю политику Египта стала </w:t>
      </w:r>
      <w:proofErr w:type="spellStart"/>
      <w:r w:rsidRPr="005F6B27">
        <w:rPr>
          <w:rFonts w:ascii="Times New Roman" w:hAnsi="Times New Roman" w:cs="Times New Roman"/>
          <w:sz w:val="28"/>
          <w:szCs w:val="24"/>
          <w:lang w:val="ru-RU"/>
        </w:rPr>
        <w:t>салафитская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по своему идейному направлению партия «Аль-</w:t>
      </w:r>
      <w:proofErr w:type="spellStart"/>
      <w:r w:rsidRPr="005F6B27">
        <w:rPr>
          <w:rFonts w:ascii="Times New Roman" w:hAnsi="Times New Roman" w:cs="Times New Roman"/>
          <w:sz w:val="28"/>
          <w:szCs w:val="24"/>
          <w:lang w:val="ru-RU"/>
        </w:rPr>
        <w:t>Нур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>», неоднократ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но подозревавшаяся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в получении скрытой финансовой поддержки от правительства Саудовской Аравии и в использовании последней в качестве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противника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«Братьев-мусульман», основной политическо</w:t>
      </w:r>
      <w:r w:rsidR="00AE4A72">
        <w:rPr>
          <w:rFonts w:ascii="Times New Roman" w:hAnsi="Times New Roman" w:cs="Times New Roman"/>
          <w:sz w:val="28"/>
          <w:szCs w:val="24"/>
          <w:lang w:val="ru-RU"/>
        </w:rPr>
        <w:t>й силы египетского исламизма [9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; 1</w:t>
      </w:r>
      <w:r w:rsidR="00AE4A72">
        <w:rPr>
          <w:rFonts w:ascii="Times New Roman" w:hAnsi="Times New Roman" w:cs="Times New Roman"/>
          <w:sz w:val="28"/>
          <w:szCs w:val="24"/>
          <w:lang w:val="ru-RU"/>
        </w:rPr>
        <w:t>0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]. Как показал в дальнейшем военный переворот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в Египте (3 июля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2013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 г.)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, которому </w:t>
      </w:r>
      <w:proofErr w:type="spellStart"/>
      <w:r w:rsidRPr="005F6B27">
        <w:rPr>
          <w:rFonts w:ascii="Times New Roman" w:hAnsi="Times New Roman" w:cs="Times New Roman"/>
          <w:sz w:val="28"/>
          <w:szCs w:val="24"/>
          <w:lang w:val="ru-RU"/>
        </w:rPr>
        <w:t>салафиты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из партии «Аль-</w:t>
      </w:r>
      <w:proofErr w:type="spellStart"/>
      <w:r w:rsidRPr="005F6B27">
        <w:rPr>
          <w:rFonts w:ascii="Times New Roman" w:hAnsi="Times New Roman" w:cs="Times New Roman"/>
          <w:sz w:val="28"/>
          <w:szCs w:val="24"/>
          <w:lang w:val="ru-RU"/>
        </w:rPr>
        <w:t>Нур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>»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 оказали посильную поддержку [1</w:t>
      </w:r>
      <w:r w:rsidR="00AE4A72">
        <w:rPr>
          <w:rFonts w:ascii="Times New Roman" w:hAnsi="Times New Roman" w:cs="Times New Roman"/>
          <w:sz w:val="28"/>
          <w:szCs w:val="24"/>
          <w:lang w:val="ru-RU"/>
        </w:rPr>
        <w:t>1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], подобные подозрения во многом могли иметь под собой реальную почву. Наконец, в случае с Ливией традиционная модель сотрудничества-вражды сыграла против ливийского руководства, поскольку Саудовская Аравия, с ее устойчивой неприязнью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относительно революционно-</w:t>
      </w:r>
      <w:proofErr w:type="spellStart"/>
      <w:r w:rsidR="003A4C02">
        <w:rPr>
          <w:rFonts w:ascii="Times New Roman" w:hAnsi="Times New Roman" w:cs="Times New Roman"/>
          <w:sz w:val="28"/>
          <w:szCs w:val="24"/>
          <w:lang w:val="ru-RU"/>
        </w:rPr>
        <w:t>панарабистс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кого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и антимонархического режима </w:t>
      </w:r>
      <w:proofErr w:type="spellStart"/>
      <w:r w:rsidRPr="005F6B27">
        <w:rPr>
          <w:rFonts w:ascii="Times New Roman" w:hAnsi="Times New Roman" w:cs="Times New Roman"/>
          <w:sz w:val="28"/>
          <w:szCs w:val="24"/>
          <w:lang w:val="ru-RU"/>
        </w:rPr>
        <w:t>М.Каддафи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>, никак не противодействовала внешнеполитическом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у </w:t>
      </w:r>
      <w:proofErr w:type="spellStart"/>
      <w:r w:rsidR="003A4C02">
        <w:rPr>
          <w:rFonts w:ascii="Times New Roman" w:hAnsi="Times New Roman" w:cs="Times New Roman"/>
          <w:sz w:val="28"/>
          <w:szCs w:val="24"/>
          <w:lang w:val="ru-RU"/>
        </w:rPr>
        <w:t>активизму</w:t>
      </w:r>
      <w:proofErr w:type="spellEnd"/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 Катара и ОАЭ, выступивших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в качестве основных ист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очников поддержки </w:t>
      </w:r>
      <w:proofErr w:type="spellStart"/>
      <w:r w:rsidR="003A4C02">
        <w:rPr>
          <w:rFonts w:ascii="Times New Roman" w:hAnsi="Times New Roman" w:cs="Times New Roman"/>
          <w:sz w:val="28"/>
          <w:szCs w:val="24"/>
          <w:lang w:val="ru-RU"/>
        </w:rPr>
        <w:t>ант</w:t>
      </w:r>
      <w:r w:rsidR="001C1800">
        <w:rPr>
          <w:rFonts w:ascii="Times New Roman" w:hAnsi="Times New Roman" w:cs="Times New Roman"/>
          <w:sz w:val="28"/>
          <w:szCs w:val="24"/>
          <w:lang w:val="ru-RU"/>
        </w:rPr>
        <w:t>икаддафитской</w:t>
      </w:r>
      <w:proofErr w:type="spellEnd"/>
      <w:r w:rsidR="001C1800">
        <w:rPr>
          <w:rFonts w:ascii="Times New Roman" w:hAnsi="Times New Roman" w:cs="Times New Roman"/>
          <w:sz w:val="28"/>
          <w:szCs w:val="24"/>
          <w:lang w:val="ru-RU"/>
        </w:rPr>
        <w:t xml:space="preserve"> оппозиции [1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,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35]. Такое развитие событий лишний раз подтвердил принципиально антиреволюционную позицию Саудовской Аравии в контексте событий «Арабской весны».</w:t>
      </w:r>
    </w:p>
    <w:p w:rsidR="005F6B27" w:rsidRPr="005F6B27" w:rsidRDefault="005F6B27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Таким образом, Саудовская Аравия подтвердила свой статус одного из основных выразителей консервативных и антиреволюционной тенденций - как на Ближнем Востоке в целом, так и в пределах </w:t>
      </w:r>
      <w:proofErr w:type="spellStart"/>
      <w:r w:rsidRPr="005F6B27">
        <w:rPr>
          <w:rFonts w:ascii="Times New Roman" w:hAnsi="Times New Roman" w:cs="Times New Roman"/>
          <w:sz w:val="28"/>
          <w:szCs w:val="24"/>
          <w:lang w:val="ru-RU"/>
        </w:rPr>
        <w:t>субрегиона</w:t>
      </w:r>
      <w:proofErr w:type="spellEnd"/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 Залива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. На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 практике основными стимулами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такой позиции стали сугубо прагматические императивы недопущения прихода к власти в ключевых государствах-соседях политических режимов,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которые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или ориентировались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бы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на Иран, или стремились бы п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роводить радикально-исламистскую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политику. В то же время, исторически обусловленные модели сотрудничества-вражды, которых саудовская правящая верхушка придерживалась еще со времен «холодной войны», во многом определили международно-политическую реакцию Эр-Рияда на события, развернувшиеся в Ливии,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что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может лишний раз быть инте</w:t>
      </w:r>
      <w:r w:rsidR="00F44A9A">
        <w:rPr>
          <w:rFonts w:ascii="Times New Roman" w:hAnsi="Times New Roman" w:cs="Times New Roman"/>
          <w:sz w:val="28"/>
          <w:szCs w:val="24"/>
          <w:lang w:val="ru-RU"/>
        </w:rPr>
        <w:t>р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прет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ир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овано как </w:t>
      </w:r>
      <w:r w:rsidR="00F44A9A">
        <w:rPr>
          <w:rFonts w:ascii="Times New Roman" w:hAnsi="Times New Roman" w:cs="Times New Roman"/>
          <w:sz w:val="28"/>
          <w:szCs w:val="24"/>
          <w:lang w:val="ru-RU"/>
        </w:rPr>
        <w:lastRenderedPageBreak/>
        <w:t>свидетельство необходимости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учитывать сконструирован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н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ы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е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международными актерами идентичности их воображаемых соперни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ков или союзников при анализе международной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политики.</w:t>
      </w:r>
    </w:p>
    <w:p w:rsidR="005F6B27" w:rsidRPr="005F6B27" w:rsidRDefault="005F6B27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В противовес Саудовской Аравии, Катар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в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значительной степени видоизменил свою региональную идентичность в ходе событий «Арабской весны». В то время как Саудовская Аравия и другие «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нефтяные монархии» З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алива, в частности ОАЭ, выступили в роли консервативных противников революционной волны 2011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 г.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, катарская правящая верхушка пыталас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ь использовать собственные СМИ и экономическую поддержку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некоторым течениям транснационального революционного движения на Ближнем Востоке, с тем чтобы продвигать дальше свои геополитические амбиции. Именно разносторонностью использованных Катаром инструментов «мягкой силы» и объясня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ется тот факт, что это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достаточно неболь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шое по площади и демографическому потенциалу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государство смогло использовать события «Арабской весны» для беспрецедентного увеличения своего регионального влияния. При этом следует заметить, что развитие катарской региональной политики было обусловлено в первую очередь желанием правящей верхушки Катара избавиться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 xml:space="preserve">от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возможных угроз со стороны как соседних с территорией эмирата государств Аравийского полуострова (в первую очередь, Саудовской Аравии), так и тогда еще преданных концептам панарабского национализма светских военных ди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ктатур Египта, Ирака и Сирии [1</w:t>
      </w:r>
      <w:r w:rsidR="00AE4A72">
        <w:rPr>
          <w:rFonts w:ascii="Times New Roman" w:hAnsi="Times New Roman" w:cs="Times New Roman"/>
          <w:sz w:val="28"/>
          <w:szCs w:val="24"/>
          <w:lang w:val="ru-RU"/>
        </w:rPr>
        <w:t>2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]. </w:t>
      </w:r>
      <w:r w:rsidR="005C1179">
        <w:rPr>
          <w:rFonts w:ascii="Times New Roman" w:hAnsi="Times New Roman" w:cs="Times New Roman"/>
          <w:sz w:val="28"/>
          <w:szCs w:val="24"/>
          <w:lang w:val="ru-RU"/>
        </w:rPr>
        <w:t xml:space="preserve">Соответственно, историческая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стратегия Катара исходила из того, что эмират должен быть готов к противодействию дестабилизирующим воздействиям со стороны идеологически мот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ивированных (или ваххабизмом, или панарабским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национализмом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) противников, а следовательно –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побудила его правящую верхушку обращать особое в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нимание на методы «мягкой силы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», которые могли потенциально стать важным инструментом сохранения суверенитета и дальнейшего продвижения влияния Катара как на Аравийском полуострове, так и на Ближнем Востоке в целом.</w:t>
      </w:r>
    </w:p>
    <w:p w:rsidR="005F6B27" w:rsidRPr="005F6B27" w:rsidRDefault="005F6B27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Именно поэтому значительный рост влияния Катара на субрегиональном и региональном уровнях вследствие «Арабской весны» стало явлением, логично 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lastRenderedPageBreak/>
        <w:t>обусловленным предыдущей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в</w:t>
      </w:r>
      <w:r w:rsidR="003A4C02">
        <w:rPr>
          <w:rFonts w:ascii="Times New Roman" w:hAnsi="Times New Roman" w:cs="Times New Roman"/>
          <w:sz w:val="28"/>
          <w:szCs w:val="24"/>
          <w:lang w:val="ru-RU"/>
        </w:rPr>
        <w:t>нешнеполитической (в том числе –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5F6B27">
        <w:rPr>
          <w:rFonts w:ascii="Times New Roman" w:hAnsi="Times New Roman" w:cs="Times New Roman"/>
          <w:sz w:val="28"/>
          <w:szCs w:val="24"/>
          <w:lang w:val="ru-RU"/>
        </w:rPr>
        <w:t>медийно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>-политической) стратегией правящих кругов эмирата и их умением адекватно использовать новые инструменты дипломатического влияния, существование которых стало возможным благодаря «революции социальных сетей» в сфере м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ежду социальной коммуникаций [1</w:t>
      </w:r>
      <w:r w:rsidR="00AE4A72">
        <w:rPr>
          <w:rFonts w:ascii="Times New Roman" w:hAnsi="Times New Roman" w:cs="Times New Roman"/>
          <w:sz w:val="28"/>
          <w:szCs w:val="24"/>
          <w:lang w:val="ru-RU"/>
        </w:rPr>
        <w:t>3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]. В частности, выдающаяся роль международного телеканала «Аль-Джазира», штаб-квартира которого с 1990-х годо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в находила</w:t>
      </w:r>
      <w:r w:rsidR="00AE4A72">
        <w:rPr>
          <w:rFonts w:ascii="Times New Roman" w:hAnsi="Times New Roman" w:cs="Times New Roman"/>
          <w:sz w:val="28"/>
          <w:szCs w:val="24"/>
          <w:lang w:val="ru-RU"/>
        </w:rPr>
        <w:t>сь в столице эмирата г. Доха [14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], в освещении событий «Арабской весны» может быть объяснена в первую очередь заинтересованностью правящей семьи Катара в продвижении дискурса своего рода умеренного 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политического ислама, сердце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критике со стороны которого было бы одновременно направлено к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ак против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исламистов </w:t>
      </w:r>
      <w:proofErr w:type="spellStart"/>
      <w:r w:rsidR="001D6A62">
        <w:rPr>
          <w:rFonts w:ascii="Times New Roman" w:hAnsi="Times New Roman" w:cs="Times New Roman"/>
          <w:sz w:val="28"/>
          <w:szCs w:val="24"/>
          <w:lang w:val="ru-RU"/>
        </w:rPr>
        <w:t>салафитского</w:t>
      </w:r>
      <w:proofErr w:type="spellEnd"/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 толка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(исторически аффилированного с Эр-Риядом), та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к и против светских </w:t>
      </w:r>
      <w:proofErr w:type="spellStart"/>
      <w:r w:rsidR="001D6A62">
        <w:rPr>
          <w:rFonts w:ascii="Times New Roman" w:hAnsi="Times New Roman" w:cs="Times New Roman"/>
          <w:sz w:val="28"/>
          <w:szCs w:val="24"/>
          <w:lang w:val="ru-RU"/>
        </w:rPr>
        <w:t>панарабистс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ких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режимов, имевших отчетливо антимонархическую направленно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сть (Египет, Ливия, Сирия). Поэтому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Катар смог воспользоваться большой популярностью «Аль-Джазиры» среди ши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роких слоев арабского общества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и использовать имидж «объективности» телеканала в качестве одного из важнейших ресурсов для продвижения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 своего влияния в регионе [1</w:t>
      </w:r>
      <w:r w:rsidR="00AE4A72">
        <w:rPr>
          <w:rFonts w:ascii="Times New Roman" w:hAnsi="Times New Roman" w:cs="Times New Roman"/>
          <w:sz w:val="28"/>
          <w:szCs w:val="24"/>
          <w:lang w:val="ru-RU"/>
        </w:rPr>
        <w:t>5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]. В свою очередь, «мягкая сила» Катара не ограничилось чисто негативными выступлениями против конкурентных 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относительно эмирата правительств арабского мира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. По утверждению А. </w:t>
      </w:r>
      <w:proofErr w:type="spellStart"/>
      <w:r w:rsidRPr="005F6B27">
        <w:rPr>
          <w:rFonts w:ascii="Times New Roman" w:hAnsi="Times New Roman" w:cs="Times New Roman"/>
          <w:sz w:val="28"/>
          <w:szCs w:val="24"/>
          <w:lang w:val="ru-RU"/>
        </w:rPr>
        <w:t>Суайяи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>, арабского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 публициста </w:t>
      </w:r>
      <w:proofErr w:type="spellStart"/>
      <w:r w:rsidR="001D6A62">
        <w:rPr>
          <w:rFonts w:ascii="Times New Roman" w:hAnsi="Times New Roman" w:cs="Times New Roman"/>
          <w:sz w:val="28"/>
          <w:szCs w:val="24"/>
          <w:lang w:val="ru-RU"/>
        </w:rPr>
        <w:t>левосоциалистической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ориентации, в основе катарского «проекта» для Ближнего Востока времен «Арабской весны» 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находились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«арабский </w:t>
      </w:r>
      <w:proofErr w:type="spellStart"/>
      <w:r w:rsidRPr="005F6B27">
        <w:rPr>
          <w:rFonts w:ascii="Times New Roman" w:hAnsi="Times New Roman" w:cs="Times New Roman"/>
          <w:sz w:val="28"/>
          <w:szCs w:val="24"/>
          <w:lang w:val="ru-RU"/>
        </w:rPr>
        <w:t>неонационализм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>, ис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ламизм и частный капитализм» [1</w:t>
      </w:r>
      <w:r w:rsidR="00AE4A72">
        <w:rPr>
          <w:rFonts w:ascii="Times New Roman" w:hAnsi="Times New Roman" w:cs="Times New Roman"/>
          <w:sz w:val="28"/>
          <w:szCs w:val="24"/>
          <w:lang w:val="ru-RU"/>
        </w:rPr>
        <w:t>6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]. Именно исходя из этих «трех китов», «Аль-Джазира» и другие инструменты «мягкой силы» катарской власти и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 предлагали арабским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обществам Ближнего Востока, охваченным волной революционных пертурбаций, свои варианты общественно-политических альтернатив.</w:t>
      </w:r>
    </w:p>
    <w:p w:rsidR="00C240FF" w:rsidRDefault="005F6B27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В ходе анализа общей стратегии Катара, направленной на продвижение влияния эмирата как в пределах своего </w:t>
      </w:r>
      <w:proofErr w:type="spellStart"/>
      <w:r w:rsidRPr="005F6B27">
        <w:rPr>
          <w:rFonts w:ascii="Times New Roman" w:hAnsi="Times New Roman" w:cs="Times New Roman"/>
          <w:sz w:val="28"/>
          <w:szCs w:val="24"/>
          <w:lang w:val="ru-RU"/>
        </w:rPr>
        <w:t>суб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региона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>, так и Ближнего Востока в целом, приходится констатировать, что «Арабская весна» стала восходящей точкой своеобразного «наступления» эмирата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, чье влияние окончательно вышло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lastRenderedPageBreak/>
        <w:t>за пределы своего непосредственного окружения. Отчасти такому развитию событий способствовало падение светских националистических режимов в Тунисе и Египте, что позволило идеологическим союзникам катарс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кой власти в этих государствах –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партии «Эн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-</w:t>
      </w:r>
      <w:proofErr w:type="spellStart"/>
      <w:r w:rsidR="001D6A62">
        <w:rPr>
          <w:rFonts w:ascii="Times New Roman" w:hAnsi="Times New Roman" w:cs="Times New Roman"/>
          <w:sz w:val="28"/>
          <w:szCs w:val="24"/>
          <w:lang w:val="ru-RU"/>
        </w:rPr>
        <w:t>Нахда</w:t>
      </w:r>
      <w:proofErr w:type="spellEnd"/>
      <w:r w:rsidR="001D6A62">
        <w:rPr>
          <w:rFonts w:ascii="Times New Roman" w:hAnsi="Times New Roman" w:cs="Times New Roman"/>
          <w:sz w:val="28"/>
          <w:szCs w:val="24"/>
          <w:lang w:val="ru-RU"/>
        </w:rPr>
        <w:t>» в Тунисе и местному ответвлению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транснационального движени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я «Братьев-мусульман» в Египте –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превратиться в ключевых </w:t>
      </w:r>
      <w:r w:rsidR="00AE4A72">
        <w:rPr>
          <w:rFonts w:ascii="Times New Roman" w:hAnsi="Times New Roman" w:cs="Times New Roman"/>
          <w:sz w:val="28"/>
          <w:szCs w:val="24"/>
          <w:lang w:val="ru-RU"/>
        </w:rPr>
        <w:t xml:space="preserve">участников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внутренней политики соответствующих государств. Учитывая тот факт, что исторические связи правящих кругов эмирата и представленного «Братьями-мусульманами» варианта политического ислами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зма (так называемого «</w:t>
      </w:r>
      <w:proofErr w:type="spellStart"/>
      <w:r w:rsidR="001D6A62">
        <w:rPr>
          <w:rFonts w:ascii="Times New Roman" w:hAnsi="Times New Roman" w:cs="Times New Roman"/>
          <w:sz w:val="28"/>
          <w:szCs w:val="24"/>
          <w:lang w:val="ru-RU"/>
        </w:rPr>
        <w:t>ихванизма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>») уходят своими корня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ми еще во вторую половину ХХ в. [1</w:t>
      </w:r>
      <w:r w:rsidR="00C240FF">
        <w:rPr>
          <w:rFonts w:ascii="Times New Roman" w:hAnsi="Times New Roman" w:cs="Times New Roman"/>
          <w:sz w:val="28"/>
          <w:szCs w:val="24"/>
          <w:lang w:val="ru-RU"/>
        </w:rPr>
        <w:t>7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], активная поддержка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этих движений со стороны катарского правительства не выглядит чем-то неожиданным или экстраординарным. В частности, привлекает внимание тот факт, что телеканал «Аль-Джазира» неоднократно предоставлял свой телеэфир ведущем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у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египетском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у богослову Ю. аль-</w:t>
      </w:r>
      <w:proofErr w:type="spellStart"/>
      <w:r w:rsidR="001D6A62">
        <w:rPr>
          <w:rFonts w:ascii="Times New Roman" w:hAnsi="Times New Roman" w:cs="Times New Roman"/>
          <w:sz w:val="28"/>
          <w:szCs w:val="24"/>
          <w:lang w:val="ru-RU"/>
        </w:rPr>
        <w:t>Кардав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и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, которого считают одним из основных 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иде</w:t>
      </w:r>
      <w:r w:rsidR="00C240FF">
        <w:rPr>
          <w:rFonts w:ascii="Times New Roman" w:hAnsi="Times New Roman" w:cs="Times New Roman"/>
          <w:sz w:val="28"/>
          <w:szCs w:val="24"/>
          <w:lang w:val="ru-RU"/>
        </w:rPr>
        <w:t xml:space="preserve">ологов современного </w:t>
      </w:r>
      <w:proofErr w:type="spellStart"/>
      <w:r w:rsidR="00C240FF">
        <w:rPr>
          <w:rFonts w:ascii="Times New Roman" w:hAnsi="Times New Roman" w:cs="Times New Roman"/>
          <w:sz w:val="28"/>
          <w:szCs w:val="24"/>
          <w:lang w:val="ru-RU"/>
        </w:rPr>
        <w:t>ихванизма</w:t>
      </w:r>
      <w:proofErr w:type="spellEnd"/>
      <w:r w:rsidR="00C240FF">
        <w:rPr>
          <w:rFonts w:ascii="Times New Roman" w:hAnsi="Times New Roman" w:cs="Times New Roman"/>
          <w:sz w:val="28"/>
          <w:szCs w:val="24"/>
          <w:lang w:val="ru-RU"/>
        </w:rPr>
        <w:t xml:space="preserve"> [18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]. С другой стороны, то, что первый международный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 визит премьер-министра Туниса Р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  <w:proofErr w:type="spellStart"/>
      <w:r w:rsidRPr="005F6B27">
        <w:rPr>
          <w:rFonts w:ascii="Times New Roman" w:hAnsi="Times New Roman" w:cs="Times New Roman"/>
          <w:sz w:val="28"/>
          <w:szCs w:val="24"/>
          <w:lang w:val="ru-RU"/>
        </w:rPr>
        <w:t>Ганнучи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>, пришедш</w:t>
      </w:r>
      <w:r w:rsidR="002D3E3C">
        <w:rPr>
          <w:rFonts w:ascii="Times New Roman" w:hAnsi="Times New Roman" w:cs="Times New Roman"/>
          <w:sz w:val="28"/>
          <w:szCs w:val="24"/>
          <w:lang w:val="ru-RU"/>
        </w:rPr>
        <w:t>его</w:t>
      </w:r>
      <w:r w:rsidR="00C240FF">
        <w:rPr>
          <w:rFonts w:ascii="Times New Roman" w:hAnsi="Times New Roman" w:cs="Times New Roman"/>
          <w:sz w:val="28"/>
          <w:szCs w:val="24"/>
          <w:lang w:val="ru-RU"/>
        </w:rPr>
        <w:t xml:space="preserve"> к власти благодаря «Жасминово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й революции», состоялся именно в Катар, также вряд ли можно с</w:t>
      </w:r>
      <w:r w:rsidR="00C240FF">
        <w:rPr>
          <w:rFonts w:ascii="Times New Roman" w:hAnsi="Times New Roman" w:cs="Times New Roman"/>
          <w:sz w:val="28"/>
          <w:szCs w:val="24"/>
          <w:lang w:val="ru-RU"/>
        </w:rPr>
        <w:t>вести к простой случайности [16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]. В этом смысле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можно утверждать, что катарское руководство положительно восприняло рост влияния близких к </w:t>
      </w:r>
      <w:proofErr w:type="spellStart"/>
      <w:r w:rsidRPr="005F6B27">
        <w:rPr>
          <w:rFonts w:ascii="Times New Roman" w:hAnsi="Times New Roman" w:cs="Times New Roman"/>
          <w:sz w:val="28"/>
          <w:szCs w:val="24"/>
          <w:lang w:val="ru-RU"/>
        </w:rPr>
        <w:t>ихванизму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течений транснационального исламистского движения на Ближнем Востоке, рассчитывая использовать их влияние в каче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стве противовеса как </w:t>
      </w:r>
      <w:proofErr w:type="spellStart"/>
      <w:r w:rsidR="001D6A62">
        <w:rPr>
          <w:rFonts w:ascii="Times New Roman" w:hAnsi="Times New Roman" w:cs="Times New Roman"/>
          <w:sz w:val="28"/>
          <w:szCs w:val="24"/>
          <w:lang w:val="ru-RU"/>
        </w:rPr>
        <w:t>просаудовскому</w:t>
      </w:r>
      <w:proofErr w:type="spellEnd"/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="001D6A62">
        <w:rPr>
          <w:rFonts w:ascii="Times New Roman" w:hAnsi="Times New Roman" w:cs="Times New Roman"/>
          <w:sz w:val="28"/>
          <w:szCs w:val="24"/>
          <w:lang w:val="ru-RU"/>
        </w:rPr>
        <w:t>салафизму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, так и светски 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настроенным </w:t>
      </w:r>
      <w:proofErr w:type="spellStart"/>
      <w:r w:rsidR="001D6A62">
        <w:rPr>
          <w:rFonts w:ascii="Times New Roman" w:hAnsi="Times New Roman" w:cs="Times New Roman"/>
          <w:sz w:val="28"/>
          <w:szCs w:val="24"/>
          <w:lang w:val="ru-RU"/>
        </w:rPr>
        <w:t>панарабистс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ким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режимам. 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Так,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в Ливии официальная Доха предоставила 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поддержку повстанческому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движения, сосредоточенном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у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в районе. Бенгази, 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которое находилось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под значительным влиянием ливийского ответвления «братьев-мусульм</w:t>
      </w:r>
      <w:r w:rsidR="00C240FF">
        <w:rPr>
          <w:rFonts w:ascii="Times New Roman" w:hAnsi="Times New Roman" w:cs="Times New Roman"/>
          <w:sz w:val="28"/>
          <w:szCs w:val="24"/>
          <w:lang w:val="ru-RU"/>
        </w:rPr>
        <w:t>ан» [19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]. </w:t>
      </w:r>
    </w:p>
    <w:p w:rsidR="005F6B27" w:rsidRDefault="005F6B27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Тем не менее, несмотря на значительный </w:t>
      </w:r>
      <w:proofErr w:type="spellStart"/>
      <w:r w:rsidRPr="005F6B27">
        <w:rPr>
          <w:rFonts w:ascii="Times New Roman" w:hAnsi="Times New Roman" w:cs="Times New Roman"/>
          <w:sz w:val="28"/>
          <w:szCs w:val="24"/>
          <w:lang w:val="ru-RU"/>
        </w:rPr>
        <w:t>медийный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и финансово-экономический потенциал Катара как регионального игрока, приходится констатировать, что в настоящее время региональный проект, осн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ованный на продвижении </w:t>
      </w:r>
      <w:proofErr w:type="spellStart"/>
      <w:r w:rsidR="001D6A62">
        <w:rPr>
          <w:rFonts w:ascii="Times New Roman" w:hAnsi="Times New Roman" w:cs="Times New Roman"/>
          <w:sz w:val="28"/>
          <w:szCs w:val="24"/>
          <w:lang w:val="ru-RU"/>
        </w:rPr>
        <w:t>ихванизма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как действенной политической альтернативы для постреволюционных государств Ближнего Востока, в общих чертах оказался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lastRenderedPageBreak/>
        <w:t>неудачным. В Египте нес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пособность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«братьев-мусульман» достичь долговременного компромисса с либеральным сегментом революционного движения, военным истеблишментом 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времен Х. </w:t>
      </w:r>
      <w:proofErr w:type="spellStart"/>
      <w:r w:rsidR="001D6A62">
        <w:rPr>
          <w:rFonts w:ascii="Times New Roman" w:hAnsi="Times New Roman" w:cs="Times New Roman"/>
          <w:sz w:val="28"/>
          <w:szCs w:val="24"/>
          <w:lang w:val="ru-RU"/>
        </w:rPr>
        <w:t>Мубарака</w:t>
      </w:r>
      <w:proofErr w:type="spellEnd"/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 и </w:t>
      </w:r>
      <w:proofErr w:type="spellStart"/>
      <w:r w:rsidR="001D6A62">
        <w:rPr>
          <w:rFonts w:ascii="Times New Roman" w:hAnsi="Times New Roman" w:cs="Times New Roman"/>
          <w:sz w:val="28"/>
          <w:szCs w:val="24"/>
          <w:lang w:val="ru-RU"/>
        </w:rPr>
        <w:t>салафитским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движением вылилась в объединение этих трех групп 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в своего рода </w:t>
      </w:r>
      <w:proofErr w:type="spellStart"/>
      <w:r w:rsidR="001D6A62">
        <w:rPr>
          <w:rFonts w:ascii="Times New Roman" w:hAnsi="Times New Roman" w:cs="Times New Roman"/>
          <w:sz w:val="28"/>
          <w:szCs w:val="24"/>
          <w:lang w:val="ru-RU"/>
        </w:rPr>
        <w:t>антиихванистс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ки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>й</w:t>
      </w:r>
      <w:proofErr w:type="spellEnd"/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 альянс, силами которого и был в июле 2013 г.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свергнут </w:t>
      </w:r>
      <w:r w:rsidR="00C240FF">
        <w:rPr>
          <w:rFonts w:ascii="Times New Roman" w:hAnsi="Times New Roman" w:cs="Times New Roman"/>
          <w:sz w:val="28"/>
          <w:szCs w:val="24"/>
          <w:lang w:val="ru-RU"/>
        </w:rPr>
        <w:t xml:space="preserve">президент М. </w:t>
      </w:r>
      <w:proofErr w:type="spellStart"/>
      <w:r w:rsidR="00C240FF">
        <w:rPr>
          <w:rFonts w:ascii="Times New Roman" w:hAnsi="Times New Roman" w:cs="Times New Roman"/>
          <w:sz w:val="28"/>
          <w:szCs w:val="24"/>
          <w:lang w:val="ru-RU"/>
        </w:rPr>
        <w:t>Морси</w:t>
      </w:r>
      <w:proofErr w:type="spellEnd"/>
      <w:r w:rsidR="00C240FF">
        <w:rPr>
          <w:rFonts w:ascii="Times New Roman" w:hAnsi="Times New Roman" w:cs="Times New Roman"/>
          <w:sz w:val="28"/>
          <w:szCs w:val="24"/>
          <w:lang w:val="ru-RU"/>
        </w:rPr>
        <w:t xml:space="preserve"> [20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]. В Тунисе партия «Эн-</w:t>
      </w:r>
      <w:proofErr w:type="spellStart"/>
      <w:r w:rsidRPr="005F6B27">
        <w:rPr>
          <w:rFonts w:ascii="Times New Roman" w:hAnsi="Times New Roman" w:cs="Times New Roman"/>
          <w:sz w:val="28"/>
          <w:szCs w:val="24"/>
          <w:lang w:val="ru-RU"/>
        </w:rPr>
        <w:t>Нахда</w:t>
      </w:r>
      <w:proofErr w:type="spellEnd"/>
      <w:r w:rsidRPr="005F6B27">
        <w:rPr>
          <w:rFonts w:ascii="Times New Roman" w:hAnsi="Times New Roman" w:cs="Times New Roman"/>
          <w:sz w:val="28"/>
          <w:szCs w:val="24"/>
          <w:lang w:val="ru-RU"/>
        </w:rPr>
        <w:t>» постепенно переориентировалась на «турецкий» вариант продвижения ценностей политического ислама, что вызвало разочарование ч</w:t>
      </w:r>
      <w:r w:rsidR="00C240FF">
        <w:rPr>
          <w:rFonts w:ascii="Times New Roman" w:hAnsi="Times New Roman" w:cs="Times New Roman"/>
          <w:sz w:val="28"/>
          <w:szCs w:val="24"/>
          <w:lang w:val="ru-RU"/>
        </w:rPr>
        <w:t>асти радикальных исламистов [21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]. Наконец, в Ливии в условиях внутренней фрагментации государства и потери центральным правительством, возглавляемым представителями местных «братьев-мусульман», фактического управленческого контроля над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 большинством</w:t>
      </w:r>
      <w:r w:rsidR="00C240FF">
        <w:rPr>
          <w:rFonts w:ascii="Times New Roman" w:hAnsi="Times New Roman" w:cs="Times New Roman"/>
          <w:sz w:val="28"/>
          <w:szCs w:val="24"/>
          <w:lang w:val="ru-RU"/>
        </w:rPr>
        <w:t xml:space="preserve"> ее территорий [22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], региональные интересы Катара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 оказались значительно подвинуты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 в пользу усилен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ия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в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лияния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 xml:space="preserve">ОАЭ и Египта, 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который </w:t>
      </w:r>
      <w:r w:rsidRPr="005F6B27">
        <w:rPr>
          <w:rFonts w:ascii="Times New Roman" w:hAnsi="Times New Roman" w:cs="Times New Roman"/>
          <w:sz w:val="28"/>
          <w:szCs w:val="24"/>
          <w:lang w:val="ru-RU"/>
        </w:rPr>
        <w:t>после свержения «братьев-мусульман» пытается вернуться к роли активного субъекта региональной политики.</w:t>
      </w:r>
    </w:p>
    <w:p w:rsidR="001D6A62" w:rsidRDefault="00BA4F93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Выводы. </w:t>
      </w:r>
      <w:r w:rsidR="001D6A62">
        <w:rPr>
          <w:rFonts w:ascii="Times New Roman" w:hAnsi="Times New Roman" w:cs="Times New Roman"/>
          <w:sz w:val="28"/>
          <w:szCs w:val="24"/>
          <w:lang w:val="ru-RU"/>
        </w:rPr>
        <w:t xml:space="preserve">Таким образом, следует констатировать, что Саудовская Аравия оказалась более успешной в плане реализации своей стратегии в условиях постреволюционного Ближнего Востока, чем Катар. </w:t>
      </w:r>
      <w:r w:rsidR="00F16157">
        <w:rPr>
          <w:rFonts w:ascii="Times New Roman" w:hAnsi="Times New Roman" w:cs="Times New Roman"/>
          <w:sz w:val="28"/>
          <w:szCs w:val="24"/>
          <w:lang w:val="ru-RU"/>
        </w:rPr>
        <w:t xml:space="preserve">Возможными причинами такого развития событий могут быть как несоизмеримость силового и финансового потенциалов Катара и Саудовской Аравии при одинаковой </w:t>
      </w:r>
      <w:proofErr w:type="spellStart"/>
      <w:r w:rsidR="00F16157">
        <w:rPr>
          <w:rFonts w:ascii="Times New Roman" w:hAnsi="Times New Roman" w:cs="Times New Roman"/>
          <w:sz w:val="28"/>
          <w:szCs w:val="24"/>
          <w:lang w:val="ru-RU"/>
        </w:rPr>
        <w:t>амбициозности</w:t>
      </w:r>
      <w:proofErr w:type="spellEnd"/>
      <w:r w:rsidR="00F16157">
        <w:rPr>
          <w:rFonts w:ascii="Times New Roman" w:hAnsi="Times New Roman" w:cs="Times New Roman"/>
          <w:sz w:val="28"/>
          <w:szCs w:val="24"/>
          <w:lang w:val="ru-RU"/>
        </w:rPr>
        <w:t xml:space="preserve"> внешнеполитических целей, так и </w:t>
      </w:r>
      <w:r w:rsidR="00320CC6">
        <w:rPr>
          <w:rFonts w:ascii="Times New Roman" w:hAnsi="Times New Roman" w:cs="Times New Roman"/>
          <w:sz w:val="28"/>
          <w:szCs w:val="24"/>
          <w:lang w:val="ru-RU"/>
        </w:rPr>
        <w:t xml:space="preserve">значительная авантюристичность основанного на поддержке </w:t>
      </w:r>
      <w:proofErr w:type="spellStart"/>
      <w:r w:rsidR="00320CC6">
        <w:rPr>
          <w:rFonts w:ascii="Times New Roman" w:hAnsi="Times New Roman" w:cs="Times New Roman"/>
          <w:sz w:val="28"/>
          <w:szCs w:val="24"/>
          <w:lang w:val="ru-RU"/>
        </w:rPr>
        <w:t>ихванизма</w:t>
      </w:r>
      <w:proofErr w:type="spellEnd"/>
      <w:r w:rsidR="00320CC6">
        <w:rPr>
          <w:rFonts w:ascii="Times New Roman" w:hAnsi="Times New Roman" w:cs="Times New Roman"/>
          <w:sz w:val="28"/>
          <w:szCs w:val="24"/>
          <w:lang w:val="ru-RU"/>
        </w:rPr>
        <w:t xml:space="preserve"> регионального курса Катара. Тем не менее, в любом случае, одним из основных последствий политики Саудовской Аравии и Катара на постреволюционном Ближнем Востоке не могло не стать дальнейшее усиление </w:t>
      </w:r>
      <w:proofErr w:type="spellStart"/>
      <w:r w:rsidR="00320CC6">
        <w:rPr>
          <w:rFonts w:ascii="Times New Roman" w:hAnsi="Times New Roman" w:cs="Times New Roman"/>
          <w:sz w:val="28"/>
          <w:szCs w:val="24"/>
          <w:lang w:val="ru-RU"/>
        </w:rPr>
        <w:t>конфессионализации</w:t>
      </w:r>
      <w:proofErr w:type="spellEnd"/>
      <w:r w:rsidR="00320CC6">
        <w:rPr>
          <w:rFonts w:ascii="Times New Roman" w:hAnsi="Times New Roman" w:cs="Times New Roman"/>
          <w:sz w:val="28"/>
          <w:szCs w:val="24"/>
          <w:lang w:val="ru-RU"/>
        </w:rPr>
        <w:t xml:space="preserve"> региональной политики, а значит – и эскалация религиозно-политической напряженности. </w:t>
      </w:r>
    </w:p>
    <w:p w:rsidR="00BA4F93" w:rsidRDefault="00BA4F93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C240FF" w:rsidRDefault="00C240FF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C240FF" w:rsidRDefault="00C240FF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C240FF" w:rsidRDefault="00C240FF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C240FF" w:rsidRDefault="00C240FF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A4F93" w:rsidRDefault="005C1179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Литература</w:t>
      </w:r>
    </w:p>
    <w:p w:rsidR="005C1179" w:rsidRDefault="005C1179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References </w:t>
      </w:r>
    </w:p>
    <w:p w:rsidR="005C1179" w:rsidRDefault="005C1179" w:rsidP="005F6B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C1179" w:rsidRDefault="005C1179" w:rsidP="005C11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C1179">
        <w:rPr>
          <w:rFonts w:ascii="Times New Roman" w:hAnsi="Times New Roman" w:cs="Times New Roman"/>
          <w:sz w:val="28"/>
          <w:szCs w:val="24"/>
          <w:lang w:val="en-US"/>
        </w:rPr>
        <w:t xml:space="preserve">Al Rasheed M. Saudi Arabia: Local and Regional Challenges / M. Al Rasheed // Contemporary Arab </w:t>
      </w:r>
      <w:r>
        <w:rPr>
          <w:rFonts w:ascii="Times New Roman" w:hAnsi="Times New Roman" w:cs="Times New Roman"/>
          <w:sz w:val="28"/>
          <w:szCs w:val="24"/>
          <w:lang w:val="en-US"/>
        </w:rPr>
        <w:t>Affairs. – 2013. – № 6(1). – Р.</w:t>
      </w:r>
      <w:r w:rsidRPr="005C1179">
        <w:rPr>
          <w:rFonts w:ascii="Times New Roman" w:hAnsi="Times New Roman" w:cs="Times New Roman"/>
          <w:sz w:val="28"/>
          <w:szCs w:val="24"/>
          <w:lang w:val="en-US"/>
        </w:rPr>
        <w:t>28–40.</w:t>
      </w:r>
    </w:p>
    <w:p w:rsidR="005C1179" w:rsidRPr="005C1179" w:rsidRDefault="005C1179" w:rsidP="005C1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5C1179">
        <w:rPr>
          <w:rFonts w:ascii="Times New Roman" w:hAnsi="Times New Roman" w:cs="Times New Roman"/>
          <w:sz w:val="28"/>
          <w:szCs w:val="24"/>
          <w:lang w:val="en-US"/>
        </w:rPr>
        <w:t>Al Rasheed M. Sectarianism as Counter-Revolution: Saudi Responses to the Arab Spring / M. Al Rasheed // Studies in Ethnicity and Natio</w:t>
      </w:r>
      <w:r>
        <w:rPr>
          <w:rFonts w:ascii="Times New Roman" w:hAnsi="Times New Roman" w:cs="Times New Roman"/>
          <w:sz w:val="28"/>
          <w:szCs w:val="24"/>
          <w:lang w:val="en-US"/>
        </w:rPr>
        <w:t>nalism. – 2011. – № 11(3). – Р.</w:t>
      </w:r>
      <w:r w:rsidRPr="005C1179">
        <w:rPr>
          <w:rFonts w:ascii="Times New Roman" w:hAnsi="Times New Roman" w:cs="Times New Roman"/>
          <w:sz w:val="28"/>
          <w:szCs w:val="24"/>
          <w:lang w:val="en-US"/>
        </w:rPr>
        <w:t xml:space="preserve">513–525. </w:t>
      </w:r>
    </w:p>
    <w:p w:rsidR="005C1179" w:rsidRPr="005C1179" w:rsidRDefault="005C1179" w:rsidP="005C1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5C1179">
        <w:rPr>
          <w:rFonts w:ascii="Times New Roman" w:hAnsi="Times New Roman" w:cs="Times New Roman"/>
          <w:sz w:val="28"/>
          <w:szCs w:val="24"/>
          <w:lang w:val="en-US"/>
        </w:rPr>
        <w:t>Gause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en-US"/>
        </w:rPr>
        <w:t xml:space="preserve"> III G. Saudi–Yemeni Relations: Domestic Structures and Foreign Influence / G. 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en-US"/>
        </w:rPr>
        <w:t>Gause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en-US"/>
        </w:rPr>
        <w:t xml:space="preserve"> III. – New York: Columbia University Press, 1990. – 233 p. </w:t>
      </w:r>
    </w:p>
    <w:p w:rsidR="005C1179" w:rsidRDefault="005C1179" w:rsidP="005C11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5C1179">
        <w:rPr>
          <w:rFonts w:ascii="Times New Roman" w:hAnsi="Times New Roman" w:cs="Times New Roman"/>
          <w:sz w:val="28"/>
          <w:szCs w:val="24"/>
          <w:lang w:val="ru-RU"/>
        </w:rPr>
        <w:t>Безп’ятчук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 xml:space="preserve"> Ж. 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ru-RU"/>
        </w:rPr>
        <w:t>Імення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 xml:space="preserve"> хаосу [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ru-RU"/>
        </w:rPr>
        <w:t>Електронний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 xml:space="preserve"> ресурс] / Ж. 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ru-RU"/>
        </w:rPr>
        <w:t>Безп’ятчук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 xml:space="preserve"> // 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ru-RU"/>
        </w:rPr>
        <w:t>Український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ru-RU"/>
        </w:rPr>
        <w:t>тиждень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 xml:space="preserve">. – 2011. – 8 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ru-RU"/>
        </w:rPr>
        <w:t>липня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 xml:space="preserve">. – Режим доступу: </w:t>
      </w:r>
      <w:r w:rsidRPr="005C1179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Pr="005C1179">
        <w:rPr>
          <w:rFonts w:ascii="Times New Roman" w:hAnsi="Times New Roman" w:cs="Times New Roman"/>
          <w:sz w:val="28"/>
          <w:szCs w:val="24"/>
          <w:lang w:val="ru-RU"/>
        </w:rPr>
        <w:t>://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en-US"/>
        </w:rPr>
        <w:t>tyzhden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>.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en-US"/>
        </w:rPr>
        <w:t>ua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>/</w:t>
      </w:r>
      <w:r w:rsidRPr="005C1179">
        <w:rPr>
          <w:rFonts w:ascii="Times New Roman" w:hAnsi="Times New Roman" w:cs="Times New Roman"/>
          <w:sz w:val="28"/>
          <w:szCs w:val="24"/>
          <w:lang w:val="en-US"/>
        </w:rPr>
        <w:t>World</w:t>
      </w:r>
      <w:r w:rsidRPr="005C1179">
        <w:rPr>
          <w:rFonts w:ascii="Times New Roman" w:hAnsi="Times New Roman" w:cs="Times New Roman"/>
          <w:sz w:val="28"/>
          <w:szCs w:val="24"/>
          <w:lang w:val="ru-RU"/>
        </w:rPr>
        <w:t>/26104/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en-US"/>
        </w:rPr>
        <w:t>PrintView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 xml:space="preserve">. – 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ru-RU"/>
        </w:rPr>
        <w:t>Назва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 xml:space="preserve"> з 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ru-RU"/>
        </w:rPr>
        <w:t>екрану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5C1179" w:rsidRPr="005C1179" w:rsidRDefault="005C1179" w:rsidP="005C1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5C1179">
        <w:rPr>
          <w:rFonts w:ascii="Times New Roman" w:hAnsi="Times New Roman" w:cs="Times New Roman"/>
          <w:sz w:val="28"/>
          <w:szCs w:val="24"/>
          <w:lang w:val="ru-RU"/>
        </w:rPr>
        <w:t>Салех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>, Али Абдулла [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ru-RU"/>
        </w:rPr>
        <w:t>Електронний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 xml:space="preserve"> ресурс] / Lenta.ru. – 2014. – 21 октября. – Режим доступу: http://lenta.ru/lib/14208941. – 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ru-RU"/>
        </w:rPr>
        <w:t>Назва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 xml:space="preserve"> з 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ru-RU"/>
        </w:rPr>
        <w:t>екрану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</w:p>
    <w:p w:rsidR="005C1179" w:rsidRPr="005C1179" w:rsidRDefault="005C1179" w:rsidP="005C1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5C1179">
        <w:rPr>
          <w:rFonts w:ascii="Times New Roman" w:hAnsi="Times New Roman" w:cs="Times New Roman"/>
          <w:sz w:val="28"/>
          <w:szCs w:val="24"/>
          <w:lang w:val="ru-RU"/>
        </w:rPr>
        <w:t>Строкань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 xml:space="preserve"> С., Юсин М. Шииты устанавливают безвластие в Йемене [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ru-RU"/>
        </w:rPr>
        <w:t>Електронний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 xml:space="preserve"> ресурс] / С. 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ru-RU"/>
        </w:rPr>
        <w:t>Строкань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 xml:space="preserve">, М. Юсин // Коммерсант.ru. – 2014. – 25 сентября. – Режим доступу: http://www.kommersant.ru/doc/2574371. – 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ru-RU"/>
        </w:rPr>
        <w:t>Назва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 xml:space="preserve"> з </w:t>
      </w:r>
      <w:proofErr w:type="spellStart"/>
      <w:r w:rsidRPr="005C1179">
        <w:rPr>
          <w:rFonts w:ascii="Times New Roman" w:hAnsi="Times New Roman" w:cs="Times New Roman"/>
          <w:sz w:val="28"/>
          <w:szCs w:val="24"/>
          <w:lang w:val="ru-RU"/>
        </w:rPr>
        <w:t>екрану</w:t>
      </w:r>
      <w:proofErr w:type="spellEnd"/>
      <w:r w:rsidRPr="005C1179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</w:p>
    <w:p w:rsidR="001C1800" w:rsidRPr="001C1800" w:rsidRDefault="001C1800" w:rsidP="001C1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1C1800">
        <w:rPr>
          <w:rFonts w:ascii="Times New Roman" w:hAnsi="Times New Roman" w:cs="Times New Roman"/>
          <w:sz w:val="28"/>
          <w:szCs w:val="24"/>
          <w:lang w:val="en-US"/>
        </w:rPr>
        <w:t>Ulrichsen</w:t>
      </w:r>
      <w:proofErr w:type="spellEnd"/>
      <w:r w:rsidRPr="001C1800">
        <w:rPr>
          <w:rFonts w:ascii="Times New Roman" w:hAnsi="Times New Roman" w:cs="Times New Roman"/>
          <w:sz w:val="28"/>
          <w:szCs w:val="24"/>
          <w:lang w:val="en-US"/>
        </w:rPr>
        <w:t xml:space="preserve"> K. C. Repositioning the GCC States in the Changing Global Order / K. C. </w:t>
      </w:r>
      <w:proofErr w:type="spellStart"/>
      <w:r w:rsidRPr="001C1800">
        <w:rPr>
          <w:rFonts w:ascii="Times New Roman" w:hAnsi="Times New Roman" w:cs="Times New Roman"/>
          <w:sz w:val="28"/>
          <w:szCs w:val="24"/>
          <w:lang w:val="en-US"/>
        </w:rPr>
        <w:t>Ulrichsen</w:t>
      </w:r>
      <w:proofErr w:type="spellEnd"/>
      <w:r w:rsidRPr="001C1800">
        <w:rPr>
          <w:rFonts w:ascii="Times New Roman" w:hAnsi="Times New Roman" w:cs="Times New Roman"/>
          <w:sz w:val="28"/>
          <w:szCs w:val="24"/>
          <w:lang w:val="en-US"/>
        </w:rPr>
        <w:t xml:space="preserve"> // Journal of Arabian Studies. – 2011. – № 1(2). – </w:t>
      </w:r>
      <w:r w:rsidRPr="001C1800">
        <w:rPr>
          <w:rFonts w:ascii="Times New Roman" w:hAnsi="Times New Roman" w:cs="Times New Roman"/>
          <w:sz w:val="28"/>
          <w:szCs w:val="24"/>
          <w:lang w:val="ru-RU"/>
        </w:rPr>
        <w:t>Р</w:t>
      </w:r>
      <w:r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1C1800">
        <w:rPr>
          <w:rFonts w:ascii="Times New Roman" w:hAnsi="Times New Roman" w:cs="Times New Roman"/>
          <w:sz w:val="28"/>
          <w:szCs w:val="24"/>
          <w:lang w:val="en-US"/>
        </w:rPr>
        <w:t xml:space="preserve">231–247. </w:t>
      </w:r>
    </w:p>
    <w:p w:rsidR="00AE4A72" w:rsidRPr="00AE4A72" w:rsidRDefault="00AE4A72" w:rsidP="00AE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AE4A72">
        <w:rPr>
          <w:rFonts w:ascii="Times New Roman" w:hAnsi="Times New Roman" w:cs="Times New Roman"/>
          <w:sz w:val="28"/>
          <w:szCs w:val="24"/>
          <w:lang w:val="en-US"/>
        </w:rPr>
        <w:t>Saudi Arabia Grants Egypt 4-Billion-Dollar Aid [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en-US"/>
        </w:rPr>
        <w:t>Електронний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en-US"/>
        </w:rPr>
        <w:t>ресурс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en-US"/>
        </w:rPr>
        <w:t xml:space="preserve">] / Xinhua News. – 2011. – 22 May. –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en-US"/>
        </w:rPr>
        <w:t>Режим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en-US"/>
        </w:rPr>
        <w:t>доступу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en-US"/>
        </w:rPr>
        <w:t xml:space="preserve">: http://news.xinhuanet.com/english2010/world/2011-05/22/c_13887318.htm. –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en-US"/>
        </w:rPr>
        <w:t>Назва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en-US"/>
        </w:rPr>
        <w:t xml:space="preserve"> з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en-US"/>
        </w:rPr>
        <w:t>екрану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</w:p>
    <w:p w:rsidR="00AE4A72" w:rsidRPr="00AE4A72" w:rsidRDefault="00AE4A72" w:rsidP="00AE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Салафиты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ru-RU"/>
        </w:rPr>
        <w:t xml:space="preserve"> Египта: Братья-мусульмане продали нас Ирану [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Електронний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ru-RU"/>
        </w:rPr>
        <w:t xml:space="preserve"> ресурс] /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en-US"/>
        </w:rPr>
        <w:t>Newsland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ru-RU"/>
        </w:rPr>
        <w:t xml:space="preserve">. – 2013. – 6 апреля. – Режим доступу: </w:t>
      </w:r>
      <w:r w:rsidRPr="00AE4A72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Pr="00AE4A72">
        <w:rPr>
          <w:rFonts w:ascii="Times New Roman" w:hAnsi="Times New Roman" w:cs="Times New Roman"/>
          <w:sz w:val="28"/>
          <w:szCs w:val="24"/>
          <w:lang w:val="ru-RU"/>
        </w:rPr>
        <w:t>://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en-US"/>
        </w:rPr>
        <w:t>newsland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AE4A72">
        <w:rPr>
          <w:rFonts w:ascii="Times New Roman" w:hAnsi="Times New Roman" w:cs="Times New Roman"/>
          <w:sz w:val="28"/>
          <w:szCs w:val="24"/>
          <w:lang w:val="en-US"/>
        </w:rPr>
        <w:t>com</w:t>
      </w:r>
      <w:r w:rsidRPr="00AE4A72">
        <w:rPr>
          <w:rFonts w:ascii="Times New Roman" w:hAnsi="Times New Roman" w:cs="Times New Roman"/>
          <w:sz w:val="28"/>
          <w:szCs w:val="24"/>
          <w:lang w:val="ru-RU"/>
        </w:rPr>
        <w:t>/</w:t>
      </w:r>
      <w:r w:rsidRPr="00AE4A72">
        <w:rPr>
          <w:rFonts w:ascii="Times New Roman" w:hAnsi="Times New Roman" w:cs="Times New Roman"/>
          <w:sz w:val="28"/>
          <w:szCs w:val="24"/>
          <w:lang w:val="en-US"/>
        </w:rPr>
        <w:t>news</w:t>
      </w:r>
      <w:r w:rsidRPr="00AE4A72">
        <w:rPr>
          <w:rFonts w:ascii="Times New Roman" w:hAnsi="Times New Roman" w:cs="Times New Roman"/>
          <w:sz w:val="28"/>
          <w:szCs w:val="24"/>
          <w:lang w:val="ru-RU"/>
        </w:rPr>
        <w:t>/</w:t>
      </w:r>
      <w:r w:rsidRPr="00AE4A72">
        <w:rPr>
          <w:rFonts w:ascii="Times New Roman" w:hAnsi="Times New Roman" w:cs="Times New Roman"/>
          <w:sz w:val="28"/>
          <w:szCs w:val="24"/>
          <w:lang w:val="en-US"/>
        </w:rPr>
        <w:t>detail</w:t>
      </w:r>
      <w:r w:rsidRPr="00AE4A72">
        <w:rPr>
          <w:rFonts w:ascii="Times New Roman" w:hAnsi="Times New Roman" w:cs="Times New Roman"/>
          <w:sz w:val="28"/>
          <w:szCs w:val="24"/>
          <w:lang w:val="ru-RU"/>
        </w:rPr>
        <w:t>/</w:t>
      </w:r>
      <w:r w:rsidRPr="00AE4A72">
        <w:rPr>
          <w:rFonts w:ascii="Times New Roman" w:hAnsi="Times New Roman" w:cs="Times New Roman"/>
          <w:sz w:val="28"/>
          <w:szCs w:val="24"/>
          <w:lang w:val="en-US"/>
        </w:rPr>
        <w:t>id</w:t>
      </w:r>
      <w:r w:rsidRPr="00AE4A72">
        <w:rPr>
          <w:rFonts w:ascii="Times New Roman" w:hAnsi="Times New Roman" w:cs="Times New Roman"/>
          <w:sz w:val="28"/>
          <w:szCs w:val="24"/>
          <w:lang w:val="ru-RU"/>
        </w:rPr>
        <w:t xml:space="preserve">/1155718. –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Назва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ru-RU"/>
        </w:rPr>
        <w:t xml:space="preserve"> з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екрану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AE4A72" w:rsidRPr="00AE4A72" w:rsidRDefault="00AE4A72" w:rsidP="00AE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ru-RU"/>
        </w:rPr>
      </w:pPr>
      <w:r w:rsidRPr="00AE4A72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Al-Anani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ru-RU"/>
        </w:rPr>
        <w:t xml:space="preserve"> K.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The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Salafi-Brotherhood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Feud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in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Egypt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ru-RU"/>
        </w:rPr>
        <w:t xml:space="preserve"> [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Електронний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ru-RU"/>
        </w:rPr>
        <w:t xml:space="preserve"> ресурс] / K.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Al-Anani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ru-RU"/>
        </w:rPr>
        <w:t xml:space="preserve"> //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Al-Monitor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ru-RU"/>
        </w:rPr>
        <w:t xml:space="preserve">. – 2013. – 21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February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ru-RU"/>
        </w:rPr>
        <w:t xml:space="preserve">. – Режим доступу: http://www.al-monitor.com/pulse/originals/2013/02/muslim-brotherhood-salafist-feud-in-egypt.html#. –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Назва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ru-RU"/>
        </w:rPr>
        <w:t xml:space="preserve"> з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екрану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</w:p>
    <w:p w:rsidR="00AE4A72" w:rsidRPr="00AE4A72" w:rsidRDefault="00AE4A72" w:rsidP="00AE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AE4A7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en-US"/>
        </w:rPr>
        <w:t>McTighe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en-US"/>
        </w:rPr>
        <w:t xml:space="preserve"> K. The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en-US"/>
        </w:rPr>
        <w:t>Salafi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en-US"/>
        </w:rPr>
        <w:t>Nour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en-US"/>
        </w:rPr>
        <w:t xml:space="preserve"> Party in Egypt [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Електронний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E4A72">
        <w:rPr>
          <w:rFonts w:ascii="Times New Roman" w:hAnsi="Times New Roman" w:cs="Times New Roman"/>
          <w:sz w:val="28"/>
          <w:szCs w:val="24"/>
          <w:lang w:val="ru-RU"/>
        </w:rPr>
        <w:t>ресурс</w:t>
      </w:r>
      <w:r w:rsidRPr="00AE4A72">
        <w:rPr>
          <w:rFonts w:ascii="Times New Roman" w:hAnsi="Times New Roman" w:cs="Times New Roman"/>
          <w:sz w:val="28"/>
          <w:szCs w:val="24"/>
          <w:lang w:val="en-US"/>
        </w:rPr>
        <w:t xml:space="preserve">] / K.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en-US"/>
        </w:rPr>
        <w:t>McTighe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en-US"/>
        </w:rPr>
        <w:t xml:space="preserve"> // Al-Jazeera Centre for Studies. – 2014. – 10 April. – </w:t>
      </w:r>
      <w:r w:rsidRPr="00AE4A72">
        <w:rPr>
          <w:rFonts w:ascii="Times New Roman" w:hAnsi="Times New Roman" w:cs="Times New Roman"/>
          <w:sz w:val="28"/>
          <w:szCs w:val="24"/>
          <w:lang w:val="ru-RU"/>
        </w:rPr>
        <w:t>Режим</w:t>
      </w:r>
      <w:r w:rsidRPr="00AE4A7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E4A72">
        <w:rPr>
          <w:rFonts w:ascii="Times New Roman" w:hAnsi="Times New Roman" w:cs="Times New Roman"/>
          <w:sz w:val="28"/>
          <w:szCs w:val="24"/>
          <w:lang w:val="ru-RU"/>
        </w:rPr>
        <w:t>доступу</w:t>
      </w:r>
      <w:r w:rsidRPr="00AE4A72">
        <w:rPr>
          <w:rFonts w:ascii="Times New Roman" w:hAnsi="Times New Roman" w:cs="Times New Roman"/>
          <w:sz w:val="28"/>
          <w:szCs w:val="24"/>
          <w:lang w:val="en-US"/>
        </w:rPr>
        <w:t xml:space="preserve">: http://studies.aljazeera.net/en/reports/2014/03/20143261283362726.htm. –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Назва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E4A72">
        <w:rPr>
          <w:rFonts w:ascii="Times New Roman" w:hAnsi="Times New Roman" w:cs="Times New Roman"/>
          <w:sz w:val="28"/>
          <w:szCs w:val="24"/>
          <w:lang w:val="ru-RU"/>
        </w:rPr>
        <w:t>з</w:t>
      </w:r>
      <w:r w:rsidRPr="00AE4A7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AE4A72">
        <w:rPr>
          <w:rFonts w:ascii="Times New Roman" w:hAnsi="Times New Roman" w:cs="Times New Roman"/>
          <w:sz w:val="28"/>
          <w:szCs w:val="24"/>
          <w:lang w:val="ru-RU"/>
        </w:rPr>
        <w:t>екрану</w:t>
      </w:r>
      <w:proofErr w:type="spellEnd"/>
      <w:r w:rsidRPr="00AE4A72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</w:p>
    <w:p w:rsidR="00AE4A72" w:rsidRPr="00AE4A72" w:rsidRDefault="00AE4A72" w:rsidP="00AE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E4A72">
        <w:rPr>
          <w:rFonts w:ascii="Times New Roman" w:hAnsi="Times New Roman" w:cs="Times New Roman"/>
          <w:sz w:val="28"/>
          <w:szCs w:val="24"/>
        </w:rPr>
        <w:lastRenderedPageBreak/>
        <w:t xml:space="preserve"> Boyce G. Qatar’s Foreign Policy / G. Boyce // Asian Affairs. – 2013. – № 44(3). – Р. 365–377. </w:t>
      </w:r>
    </w:p>
    <w:p w:rsidR="00AE4A72" w:rsidRPr="00AE4A72" w:rsidRDefault="00AE4A72" w:rsidP="00AE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E4A72">
        <w:rPr>
          <w:rFonts w:ascii="Times New Roman" w:hAnsi="Times New Roman" w:cs="Times New Roman"/>
          <w:sz w:val="28"/>
          <w:szCs w:val="24"/>
        </w:rPr>
        <w:t xml:space="preserve"> Зінько С. Ю. Мусульманські країни Близького Сходу у сучасних міжнародних інформаційних відносинах : дис. … канд. політ. наук : 23.00.04 / С. Ю. Зінько. – Чернівці, 2012. – 248 с. </w:t>
      </w:r>
    </w:p>
    <w:p w:rsidR="00AE4A72" w:rsidRPr="00AE4A72" w:rsidRDefault="00AE4A72" w:rsidP="00AE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E4A72">
        <w:rPr>
          <w:rFonts w:ascii="Times New Roman" w:hAnsi="Times New Roman" w:cs="Times New Roman"/>
          <w:sz w:val="28"/>
          <w:szCs w:val="24"/>
        </w:rPr>
        <w:t xml:space="preserve"> Зінько С. Ю. Публічна дипломатія Катару на сучасному етапі / С. Ю. Зінько // Гілея: науковий вісник : зб. наук. пр. – Вип. 59 (4). – К., 2012. – С. 760–765.</w:t>
      </w:r>
    </w:p>
    <w:p w:rsidR="00AE4A72" w:rsidRPr="00AE4A72" w:rsidRDefault="00AE4A72" w:rsidP="00AE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E4A72">
        <w:rPr>
          <w:rFonts w:ascii="Times New Roman" w:hAnsi="Times New Roman" w:cs="Times New Roman"/>
          <w:sz w:val="28"/>
          <w:szCs w:val="24"/>
        </w:rPr>
        <w:t xml:space="preserve"> Antwi-Boateng O. The Rise of Qatar as a Soft Power and the Challenges / O. Antwi-Boateng // European Scientific Journal. – 2013. – № 2. – Р. 39–51. </w:t>
      </w:r>
    </w:p>
    <w:p w:rsidR="00C240FF" w:rsidRPr="00C240FF" w:rsidRDefault="00AE4A72" w:rsidP="00C24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C240FF">
        <w:rPr>
          <w:rFonts w:ascii="Times New Roman" w:hAnsi="Times New Roman" w:cs="Times New Roman"/>
          <w:sz w:val="28"/>
          <w:szCs w:val="24"/>
        </w:rPr>
        <w:t xml:space="preserve"> </w:t>
      </w:r>
      <w:r w:rsidR="00C240FF" w:rsidRPr="00C240FF">
        <w:rPr>
          <w:rFonts w:ascii="Times New Roman" w:hAnsi="Times New Roman" w:cs="Times New Roman"/>
          <w:sz w:val="28"/>
          <w:szCs w:val="24"/>
        </w:rPr>
        <w:t xml:space="preserve">Souaiaia A. Qatar, Al Jazeera, and the Arab Spring [Електронний ресурс] / A. Souaiaia // Monthly Review. – 2011. – 17 November. – Режим доступу: http://mrzine.monthlyreview.org/2011/souaiaia171111.html. – Назва з екрану. </w:t>
      </w:r>
    </w:p>
    <w:p w:rsidR="00C240FF" w:rsidRPr="00C240FF" w:rsidRDefault="00C240FF" w:rsidP="00C24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C240FF">
        <w:rPr>
          <w:rFonts w:ascii="Times New Roman" w:hAnsi="Times New Roman" w:cs="Times New Roman"/>
          <w:sz w:val="28"/>
          <w:szCs w:val="24"/>
        </w:rPr>
        <w:t xml:space="preserve"> Haykel B. Qatar and Islamism [Електронний ресурс] / B. Haykel // Norwegian Peacebuilding Resource Centre. – 2013. – February. – Режим доступу: http://www.peacebuilding.no/var/ezflow_site/storage/original/application/ac81941df1be874ccbda35e747218abf.pdf. </w:t>
      </w:r>
    </w:p>
    <w:p w:rsidR="00C240FF" w:rsidRPr="00C240FF" w:rsidRDefault="00C240FF" w:rsidP="00C24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C240FF">
        <w:rPr>
          <w:rFonts w:ascii="Times New Roman" w:hAnsi="Times New Roman" w:cs="Times New Roman"/>
          <w:sz w:val="28"/>
          <w:szCs w:val="24"/>
        </w:rPr>
        <w:t xml:space="preserve"> Williams L. Qatar – Muslim Brotherhood Ties Run Deep [Електронний ресурс] / L. Williams // The National. – 2014. – 19 March. – Режим доступу: http://www.thenational.ae/world/qatar/inside-doha-at-the-heart-of-a-gcc-dispute. </w:t>
      </w:r>
    </w:p>
    <w:p w:rsidR="00C240FF" w:rsidRPr="00C240FF" w:rsidRDefault="00C240FF" w:rsidP="00C24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C240FF">
        <w:rPr>
          <w:rFonts w:ascii="Times New Roman" w:hAnsi="Times New Roman" w:cs="Times New Roman"/>
          <w:sz w:val="28"/>
          <w:szCs w:val="24"/>
        </w:rPr>
        <w:t xml:space="preserve"> Khatib L. Qatar’s Foreign Policy: the Limits of Pragmatism / L. Khatib // International Affairs. – 2013. – № 89(2). – Р. 417–431. </w:t>
      </w:r>
    </w:p>
    <w:p w:rsidR="00C240FF" w:rsidRPr="00C240FF" w:rsidRDefault="00C240FF" w:rsidP="00C24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C240FF">
        <w:rPr>
          <w:rFonts w:ascii="Times New Roman" w:hAnsi="Times New Roman" w:cs="Times New Roman"/>
          <w:sz w:val="28"/>
          <w:szCs w:val="24"/>
        </w:rPr>
        <w:t xml:space="preserve"> Many Stripes / Economist. – 2013. – № 409(8864). – Р. 49. </w:t>
      </w:r>
    </w:p>
    <w:p w:rsidR="00C240FF" w:rsidRPr="00C240FF" w:rsidRDefault="00C240FF" w:rsidP="00C24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C240FF">
        <w:rPr>
          <w:rFonts w:ascii="Times New Roman" w:hAnsi="Times New Roman" w:cs="Times New Roman"/>
          <w:sz w:val="28"/>
          <w:szCs w:val="24"/>
        </w:rPr>
        <w:t xml:space="preserve"> Petrou M. Tunisia Is Becoming the Lone Arab Spring Success Story [Електронний ресурс] / M. Petrou // Maclean’s. – 2014. – 24 February. – Режим доступу: http://www.macleans.ca/authors/michael-petrou/tunisia-is-becoming-the-lone-arab-spring-success-story. – Назва з екрану. </w:t>
      </w:r>
    </w:p>
    <w:p w:rsidR="00C240FF" w:rsidRPr="00C240FF" w:rsidRDefault="00C240FF" w:rsidP="00C24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C240FF">
        <w:rPr>
          <w:rFonts w:ascii="Times New Roman" w:hAnsi="Times New Roman" w:cs="Times New Roman"/>
          <w:sz w:val="28"/>
          <w:szCs w:val="24"/>
        </w:rPr>
        <w:t xml:space="preserve"> Toperich S. Libya: The Muslim Brotherhood’s Last Stand? [Електронний ресурс] / S. Toperich // The Huffington Post. – 2014. – 23 September. – Режим доступу: http://www.huffingtonpost.com/sasha-toperich/libya-the-muslim-brotherhoods-last-stand_b_5618001.html. – Назва з екрану. </w:t>
      </w:r>
    </w:p>
    <w:p w:rsidR="005C1179" w:rsidRPr="00C240FF" w:rsidRDefault="005C1179" w:rsidP="00C240F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4"/>
        </w:rPr>
      </w:pPr>
    </w:p>
    <w:sectPr w:rsidR="005C1179" w:rsidRPr="00C240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063F5"/>
    <w:multiLevelType w:val="hybridMultilevel"/>
    <w:tmpl w:val="D5802A62"/>
    <w:lvl w:ilvl="0" w:tplc="B19E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3A"/>
    <w:rsid w:val="0005073A"/>
    <w:rsid w:val="00144EB6"/>
    <w:rsid w:val="001C1800"/>
    <w:rsid w:val="001D6A62"/>
    <w:rsid w:val="002D3E3C"/>
    <w:rsid w:val="00320CC6"/>
    <w:rsid w:val="003A4C02"/>
    <w:rsid w:val="005C1179"/>
    <w:rsid w:val="005C1A0C"/>
    <w:rsid w:val="005F6B27"/>
    <w:rsid w:val="0076263E"/>
    <w:rsid w:val="00843163"/>
    <w:rsid w:val="008F1834"/>
    <w:rsid w:val="00A129B3"/>
    <w:rsid w:val="00A47867"/>
    <w:rsid w:val="00AE4A72"/>
    <w:rsid w:val="00B11409"/>
    <w:rsid w:val="00BA4F93"/>
    <w:rsid w:val="00C240FF"/>
    <w:rsid w:val="00E72F42"/>
    <w:rsid w:val="00F03E9F"/>
    <w:rsid w:val="00F16157"/>
    <w:rsid w:val="00F4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70461-B1CD-4CEC-A88B-3135530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2911</Words>
  <Characters>20961</Characters>
  <Application>Microsoft Office Word</Application>
  <DocSecurity>0</DocSecurity>
  <Lines>388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Леонід Кияниця</dc:creator>
  <cp:keywords/>
  <dc:description/>
  <cp:lastModifiedBy>Леонід Кияниця</cp:lastModifiedBy>
  <cp:revision>2</cp:revision>
  <dcterms:created xsi:type="dcterms:W3CDTF">2014-11-10T10:36:00Z</dcterms:created>
  <dcterms:modified xsi:type="dcterms:W3CDTF">2014-11-10T10:36:00Z</dcterms:modified>
</cp:coreProperties>
</file>