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5A" w:rsidRDefault="0075605A" w:rsidP="007560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Соціальні та поведінкові науки/Економіка</w:t>
      </w:r>
    </w:p>
    <w:p w:rsidR="0075605A" w:rsidRDefault="0075605A" w:rsidP="007560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605A" w:rsidRDefault="0075605A" w:rsidP="007560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05A">
        <w:rPr>
          <w:rFonts w:ascii="Times New Roman" w:hAnsi="Times New Roman" w:cs="Times New Roman"/>
          <w:b/>
          <w:sz w:val="28"/>
          <w:szCs w:val="28"/>
          <w:lang w:val="uk-UA"/>
        </w:rPr>
        <w:t>З.В. Пічкурова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75605A" w:rsidRDefault="0075605A" w:rsidP="007560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5605A">
        <w:rPr>
          <w:rFonts w:ascii="Times New Roman" w:hAnsi="Times New Roman" w:cs="Times New Roman"/>
          <w:sz w:val="28"/>
          <w:szCs w:val="28"/>
          <w:lang w:val="uk-UA"/>
        </w:rPr>
        <w:t xml:space="preserve">андидат економічних наук, доцент кафедри </w:t>
      </w:r>
    </w:p>
    <w:p w:rsidR="0075605A" w:rsidRDefault="0075605A" w:rsidP="007560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05A">
        <w:rPr>
          <w:rFonts w:ascii="Times New Roman" w:hAnsi="Times New Roman" w:cs="Times New Roman"/>
          <w:sz w:val="28"/>
          <w:szCs w:val="28"/>
          <w:lang w:val="uk-UA"/>
        </w:rPr>
        <w:t>міжнародних економічних відносин і бізнесу</w:t>
      </w:r>
    </w:p>
    <w:p w:rsidR="0075605A" w:rsidRDefault="0075605A" w:rsidP="007560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Національного авіаційного університету</w:t>
      </w:r>
    </w:p>
    <w:p w:rsidR="0075605A" w:rsidRPr="0075605A" w:rsidRDefault="0075605A" w:rsidP="007560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18E3" w:rsidRPr="0075605A" w:rsidRDefault="007D3E24" w:rsidP="0075605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5605A">
        <w:rPr>
          <w:rFonts w:ascii="Times New Roman" w:hAnsi="Times New Roman" w:cs="Times New Roman"/>
          <w:b/>
          <w:caps/>
          <w:sz w:val="28"/>
          <w:szCs w:val="28"/>
          <w:lang w:val="uk-UA"/>
        </w:rPr>
        <w:t>Детермінанти розвитку ІТ-сектор</w:t>
      </w:r>
      <w:r w:rsidR="00A86039">
        <w:rPr>
          <w:rFonts w:ascii="Times New Roman" w:hAnsi="Times New Roman" w:cs="Times New Roman"/>
          <w:b/>
          <w:caps/>
          <w:sz w:val="28"/>
          <w:szCs w:val="28"/>
          <w:lang w:val="uk-UA"/>
        </w:rPr>
        <w:t>у</w:t>
      </w:r>
      <w:r w:rsidRPr="0075605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в Україні</w:t>
      </w:r>
    </w:p>
    <w:p w:rsidR="007D3E24" w:rsidRDefault="007D3E24" w:rsidP="007560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F6D" w:rsidRDefault="005925AE" w:rsidP="00F40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сучасних умовах економічного розвитку </w:t>
      </w:r>
      <w:r w:rsidR="000F6720">
        <w:rPr>
          <w:rFonts w:ascii="Times New Roman" w:hAnsi="Times New Roman" w:cs="Times New Roman"/>
          <w:sz w:val="28"/>
          <w:szCs w:val="28"/>
          <w:lang w:val="uk-UA"/>
        </w:rPr>
        <w:t>сектор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технологій </w:t>
      </w:r>
      <w:r w:rsidR="000F6720">
        <w:rPr>
          <w:rFonts w:ascii="Times New Roman" w:hAnsi="Times New Roman" w:cs="Times New Roman"/>
          <w:sz w:val="28"/>
          <w:szCs w:val="28"/>
          <w:lang w:val="uk-UA"/>
        </w:rPr>
        <w:t>є одним із</w:t>
      </w:r>
      <w:r w:rsidR="009F7786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перспективних </w:t>
      </w:r>
      <w:r w:rsidR="000F6720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9F7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720">
        <w:rPr>
          <w:rFonts w:ascii="Times New Roman" w:hAnsi="Times New Roman" w:cs="Times New Roman"/>
          <w:sz w:val="28"/>
          <w:szCs w:val="28"/>
          <w:lang w:val="uk-UA"/>
        </w:rPr>
        <w:t>вітчизняної</w:t>
      </w:r>
      <w:r w:rsidR="009F7786">
        <w:rPr>
          <w:rFonts w:ascii="Times New Roman" w:hAnsi="Times New Roman" w:cs="Times New Roman"/>
          <w:sz w:val="28"/>
          <w:szCs w:val="28"/>
          <w:lang w:val="uk-UA"/>
        </w:rPr>
        <w:t xml:space="preserve"> економіки</w:t>
      </w:r>
      <w:r w:rsidR="009F7786">
        <w:rPr>
          <w:rFonts w:ascii="Times New Roman" w:hAnsi="Times New Roman" w:cs="Times New Roman"/>
          <w:sz w:val="28"/>
          <w:szCs w:val="28"/>
          <w:lang w:val="uk-UA"/>
        </w:rPr>
        <w:t>, що по</w:t>
      </w:r>
      <w:r w:rsidR="009F164B">
        <w:rPr>
          <w:rFonts w:ascii="Times New Roman" w:hAnsi="Times New Roman" w:cs="Times New Roman"/>
          <w:sz w:val="28"/>
          <w:szCs w:val="28"/>
          <w:lang w:val="uk-UA"/>
        </w:rPr>
        <w:t>при економічну і політичну нестабільність</w:t>
      </w:r>
      <w:r w:rsidR="000F6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64B">
        <w:rPr>
          <w:rFonts w:ascii="Times New Roman" w:hAnsi="Times New Roman" w:cs="Times New Roman"/>
          <w:sz w:val="28"/>
          <w:szCs w:val="28"/>
          <w:lang w:val="uk-UA"/>
        </w:rPr>
        <w:t xml:space="preserve">впевнено демонструє зростання, яке позитивно позначається на </w:t>
      </w:r>
      <w:r w:rsidR="009F7786">
        <w:rPr>
          <w:rFonts w:ascii="Times New Roman" w:hAnsi="Times New Roman" w:cs="Times New Roman"/>
          <w:sz w:val="28"/>
          <w:szCs w:val="28"/>
          <w:lang w:val="uk-UA"/>
        </w:rPr>
        <w:t>збільшенні обсягів</w:t>
      </w:r>
      <w:r w:rsidR="009F164B">
        <w:rPr>
          <w:rFonts w:ascii="Times New Roman" w:hAnsi="Times New Roman" w:cs="Times New Roman"/>
          <w:sz w:val="28"/>
          <w:szCs w:val="28"/>
          <w:lang w:val="uk-UA"/>
        </w:rPr>
        <w:t xml:space="preserve"> експорту, створенні </w:t>
      </w:r>
      <w:r w:rsidR="00BB4CE5">
        <w:rPr>
          <w:rFonts w:ascii="Times New Roman" w:hAnsi="Times New Roman" w:cs="Times New Roman"/>
          <w:sz w:val="28"/>
          <w:szCs w:val="28"/>
          <w:lang w:val="uk-UA"/>
        </w:rPr>
        <w:t xml:space="preserve">нових </w:t>
      </w:r>
      <w:r w:rsidR="009F164B">
        <w:rPr>
          <w:rFonts w:ascii="Times New Roman" w:hAnsi="Times New Roman" w:cs="Times New Roman"/>
          <w:sz w:val="28"/>
          <w:szCs w:val="28"/>
          <w:lang w:val="uk-UA"/>
        </w:rPr>
        <w:t>робочих місць, забезпеченні конкурентних переваг Україн</w:t>
      </w:r>
      <w:r w:rsidR="009F77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164B">
        <w:rPr>
          <w:rFonts w:ascii="Times New Roman" w:hAnsi="Times New Roman" w:cs="Times New Roman"/>
          <w:sz w:val="28"/>
          <w:szCs w:val="28"/>
          <w:lang w:val="uk-UA"/>
        </w:rPr>
        <w:t xml:space="preserve"> на світовому ринку.</w:t>
      </w:r>
      <w:r w:rsidR="003F5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F6D">
        <w:rPr>
          <w:rFonts w:ascii="Times New Roman" w:hAnsi="Times New Roman" w:cs="Times New Roman"/>
          <w:sz w:val="28"/>
          <w:szCs w:val="28"/>
          <w:lang w:val="uk-UA"/>
        </w:rPr>
        <w:t>В зв’язку з цим, актуальним є дослідження</w:t>
      </w:r>
      <w:r w:rsidR="000F6720">
        <w:rPr>
          <w:rFonts w:ascii="Times New Roman" w:hAnsi="Times New Roman" w:cs="Times New Roman"/>
          <w:sz w:val="28"/>
          <w:szCs w:val="28"/>
          <w:lang w:val="uk-UA"/>
        </w:rPr>
        <w:t xml:space="preserve"> і аналіз</w:t>
      </w:r>
      <w:r w:rsidR="003F5F6D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детермінант розвитку ІТ-сектор</w:t>
      </w:r>
      <w:r w:rsidR="000F67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5F6D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</w:t>
      </w:r>
      <w:r w:rsidR="000F6720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3F5F6D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перспектив подальшого </w:t>
      </w:r>
      <w:r w:rsidR="00B96564">
        <w:rPr>
          <w:rFonts w:ascii="Times New Roman" w:hAnsi="Times New Roman" w:cs="Times New Roman"/>
          <w:sz w:val="28"/>
          <w:szCs w:val="28"/>
          <w:lang w:val="uk-UA"/>
        </w:rPr>
        <w:t>зростання</w:t>
      </w:r>
      <w:r w:rsidR="003F5F6D">
        <w:rPr>
          <w:rFonts w:ascii="Times New Roman" w:hAnsi="Times New Roman" w:cs="Times New Roman"/>
          <w:sz w:val="28"/>
          <w:szCs w:val="28"/>
          <w:lang w:val="uk-UA"/>
        </w:rPr>
        <w:t xml:space="preserve"> цієї галузі, як однієї з найбільш конкурентоспроможних для України. </w:t>
      </w:r>
    </w:p>
    <w:p w:rsidR="00B2146F" w:rsidRPr="00853871" w:rsidRDefault="00F40584" w:rsidP="003F5F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останній рік галузь інформаційних технологій зросла на 18%, а </w:t>
      </w:r>
      <w:r w:rsidRPr="00C22860">
        <w:rPr>
          <w:rFonts w:ascii="Times New Roman" w:hAnsi="Times New Roman" w:cs="Times New Roman"/>
          <w:sz w:val="28"/>
          <w:szCs w:val="28"/>
          <w:lang w:val="uk-UA"/>
        </w:rPr>
        <w:t>ІТ-послуги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зайняли третє місце за </w:t>
      </w:r>
      <w:r w:rsidRPr="00C22860">
        <w:rPr>
          <w:rFonts w:ascii="Times New Roman" w:hAnsi="Times New Roman" w:cs="Times New Roman"/>
          <w:sz w:val="28"/>
          <w:szCs w:val="28"/>
          <w:lang w:val="uk-UA"/>
        </w:rPr>
        <w:t>обсягами доходів від експорту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2146F">
        <w:rPr>
          <w:rFonts w:ascii="Times New Roman" w:hAnsi="Times New Roman" w:cs="Times New Roman"/>
          <w:sz w:val="28"/>
          <w:szCs w:val="28"/>
          <w:lang w:val="uk-UA"/>
        </w:rPr>
        <w:t>За даними Європейської Бізнес Асоціації, сьогодні в Україні працюють більше 100 тисяч ІТ-фахівців, функціонують понад 500 науково-дослідних центрів (6% ринку), приблизно 100 стартапів та близько 3000 сервісних компаній. Щорічно галузь створює більше 10 тисяч нових робочих місць</w:t>
      </w:r>
      <w:r w:rsidR="00340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539" w:rsidRPr="005C688C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B214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688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53871">
        <w:rPr>
          <w:rFonts w:ascii="Times New Roman" w:hAnsi="Times New Roman" w:cs="Times New Roman"/>
          <w:sz w:val="28"/>
          <w:szCs w:val="28"/>
          <w:lang w:val="uk-UA"/>
        </w:rPr>
        <w:t xml:space="preserve">гідно </w:t>
      </w:r>
      <w:r w:rsidR="003F5F6D">
        <w:rPr>
          <w:rFonts w:ascii="Times New Roman" w:hAnsi="Times New Roman" w:cs="Times New Roman"/>
          <w:sz w:val="28"/>
          <w:szCs w:val="28"/>
          <w:lang w:val="uk-UA"/>
        </w:rPr>
        <w:t>досліджень</w:t>
      </w:r>
      <w:r w:rsidR="003F5F6D">
        <w:rPr>
          <w:rFonts w:ascii="Times New Roman" w:hAnsi="Times New Roman" w:cs="Times New Roman"/>
          <w:sz w:val="28"/>
          <w:szCs w:val="28"/>
          <w:lang w:val="uk-UA"/>
        </w:rPr>
        <w:t xml:space="preserve"> Офісу ефективного регулювання  </w:t>
      </w:r>
      <w:r w:rsidR="003F5F6D">
        <w:rPr>
          <w:rFonts w:ascii="Times New Roman" w:hAnsi="Times New Roman" w:cs="Times New Roman"/>
          <w:sz w:val="28"/>
          <w:szCs w:val="28"/>
          <w:lang w:val="en-US"/>
        </w:rPr>
        <w:t>BRDO</w:t>
      </w:r>
      <w:r w:rsidR="003F5F6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F5F6D" w:rsidRPr="009F7786">
        <w:rPr>
          <w:rStyle w:val="af"/>
          <w:rFonts w:ascii="Times New Roman" w:hAnsi="Times New Roman" w:cs="Times New Roman"/>
          <w:i w:val="0"/>
          <w:sz w:val="28"/>
          <w:szCs w:val="28"/>
          <w:lang w:val="en-US"/>
        </w:rPr>
        <w:t>Better</w:t>
      </w:r>
      <w:r w:rsidR="003F5F6D" w:rsidRPr="009F7786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3F5F6D" w:rsidRPr="009F7786">
        <w:rPr>
          <w:rStyle w:val="af"/>
          <w:rFonts w:ascii="Times New Roman" w:hAnsi="Times New Roman" w:cs="Times New Roman"/>
          <w:i w:val="0"/>
          <w:sz w:val="28"/>
          <w:szCs w:val="28"/>
          <w:lang w:val="en-US"/>
        </w:rPr>
        <w:t>Regulation</w:t>
      </w:r>
      <w:r w:rsidR="003F5F6D" w:rsidRPr="009F7786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3F5F6D" w:rsidRPr="009F7786">
        <w:rPr>
          <w:rStyle w:val="af"/>
          <w:rFonts w:ascii="Times New Roman" w:hAnsi="Times New Roman" w:cs="Times New Roman"/>
          <w:i w:val="0"/>
          <w:sz w:val="28"/>
          <w:szCs w:val="28"/>
          <w:lang w:val="en-US"/>
        </w:rPr>
        <w:t>Delivery</w:t>
      </w:r>
      <w:r w:rsidR="003F5F6D" w:rsidRPr="009F7786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3F5F6D" w:rsidRPr="009F7786">
        <w:rPr>
          <w:rStyle w:val="af"/>
          <w:rFonts w:ascii="Times New Roman" w:hAnsi="Times New Roman" w:cs="Times New Roman"/>
          <w:i w:val="0"/>
          <w:sz w:val="28"/>
          <w:szCs w:val="28"/>
          <w:lang w:val="en-US"/>
        </w:rPr>
        <w:t>Office</w:t>
      </w:r>
      <w:r w:rsidR="003F5F6D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853871">
        <w:rPr>
          <w:rFonts w:ascii="Times New Roman" w:hAnsi="Times New Roman" w:cs="Times New Roman"/>
          <w:sz w:val="28"/>
          <w:szCs w:val="28"/>
          <w:lang w:val="uk-UA"/>
        </w:rPr>
        <w:t xml:space="preserve"> 100 тисяч ІТ-співробітників в Україні здатні створювати близько 290 робочих місць в інших сферах</w:t>
      </w:r>
      <w:r w:rsidR="00366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937" w:rsidRPr="005C688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6693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6937" w:rsidRPr="005C688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538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53871" w:rsidRPr="00853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7DBF" w:rsidRDefault="00F66525" w:rsidP="009F16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даними </w:t>
      </w:r>
      <w:r w:rsidR="00391501" w:rsidRPr="00391501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міжнародної мережі компаній </w:t>
      </w:r>
      <w:r w:rsidR="00391501" w:rsidRPr="00391501">
        <w:rPr>
          <w:rFonts w:ascii="Times New Roman" w:hAnsi="Times New Roman" w:cs="Times New Roman"/>
          <w:bCs/>
          <w:sz w:val="28"/>
          <w:szCs w:val="28"/>
          <w:lang w:val="en-US"/>
        </w:rPr>
        <w:t>PricewaterhouseCoopers</w:t>
      </w:r>
      <w:r w:rsidR="00391501" w:rsidRPr="003915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391501" w:rsidRPr="00391501">
        <w:rPr>
          <w:rFonts w:ascii="Times New Roman" w:hAnsi="Times New Roman" w:cs="Times New Roman"/>
          <w:bCs/>
          <w:sz w:val="28"/>
          <w:szCs w:val="28"/>
          <w:lang w:val="en-US"/>
        </w:rPr>
        <w:t>PwC</w:t>
      </w:r>
      <w:r w:rsidR="00391501" w:rsidRPr="00391501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очікуваний обсяг </w:t>
      </w:r>
      <w:r w:rsidR="003772EF">
        <w:rPr>
          <w:rFonts w:ascii="Times New Roman" w:hAnsi="Times New Roman" w:cs="Times New Roman"/>
          <w:sz w:val="28"/>
          <w:szCs w:val="28"/>
          <w:lang w:val="uk-UA"/>
        </w:rPr>
        <w:t>доходів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технологій до 2025 року може досягти 8,4 млрд. дол. США</w:t>
      </w:r>
      <w:r w:rsidR="00391501">
        <w:rPr>
          <w:rFonts w:ascii="Times New Roman" w:hAnsi="Times New Roman" w:cs="Times New Roman"/>
          <w:sz w:val="28"/>
          <w:szCs w:val="28"/>
          <w:lang w:val="uk-UA"/>
        </w:rPr>
        <w:t xml:space="preserve">, а кількість робочих місць перевищити 240 тисяч </w:t>
      </w:r>
      <w:r w:rsidR="00391501">
        <w:rPr>
          <w:rFonts w:ascii="Times New Roman" w:hAnsi="Times New Roman" w:cs="Times New Roman"/>
          <w:sz w:val="28"/>
          <w:szCs w:val="28"/>
          <w:lang w:val="uk-UA"/>
        </w:rPr>
        <w:lastRenderedPageBreak/>
        <w:t>осіб</w:t>
      </w:r>
      <w:r w:rsidR="003772EF">
        <w:rPr>
          <w:rFonts w:ascii="Times New Roman" w:hAnsi="Times New Roman" w:cs="Times New Roman"/>
          <w:sz w:val="28"/>
          <w:szCs w:val="28"/>
          <w:lang w:val="uk-UA"/>
        </w:rPr>
        <w:t xml:space="preserve">, тобто збільшитись майже у 2,5 рази </w:t>
      </w:r>
      <w:r w:rsidR="00391501">
        <w:rPr>
          <w:rFonts w:ascii="Times New Roman" w:hAnsi="Times New Roman" w:cs="Times New Roman"/>
          <w:sz w:val="28"/>
          <w:szCs w:val="28"/>
          <w:lang w:val="uk-UA"/>
        </w:rPr>
        <w:t>(див. рис. 1)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1501">
        <w:rPr>
          <w:rFonts w:ascii="Times New Roman" w:hAnsi="Times New Roman" w:cs="Times New Roman"/>
          <w:sz w:val="28"/>
          <w:szCs w:val="28"/>
          <w:lang w:val="uk-UA"/>
        </w:rPr>
        <w:t xml:space="preserve"> Хоча</w:t>
      </w:r>
      <w:r w:rsidR="003772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2EF" w:rsidRPr="00391501">
        <w:rPr>
          <w:rFonts w:ascii="Times New Roman" w:hAnsi="Times New Roman" w:cs="Times New Roman"/>
          <w:bCs/>
          <w:sz w:val="28"/>
          <w:szCs w:val="28"/>
          <w:lang w:val="en-US"/>
        </w:rPr>
        <w:t>PwC</w:t>
      </w:r>
      <w:r w:rsidR="003772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формулює також і песимістичний прогноз, згідно якого обсяги доходів </w:t>
      </w:r>
      <w:r w:rsidR="004F4C99">
        <w:rPr>
          <w:rFonts w:ascii="Times New Roman" w:hAnsi="Times New Roman" w:cs="Times New Roman"/>
          <w:bCs/>
          <w:sz w:val="28"/>
          <w:szCs w:val="28"/>
          <w:lang w:val="uk-UA"/>
        </w:rPr>
        <w:t>ІТ-</w:t>
      </w:r>
      <w:r w:rsidR="003772EF">
        <w:rPr>
          <w:rFonts w:ascii="Times New Roman" w:hAnsi="Times New Roman" w:cs="Times New Roman"/>
          <w:bCs/>
          <w:sz w:val="28"/>
          <w:szCs w:val="28"/>
          <w:lang w:val="uk-UA"/>
        </w:rPr>
        <w:t>галузі збільшаться всього до 4,1 млрд. дол. США, а чисельність кадрів зросте до 165 тис. осіб</w:t>
      </w:r>
      <w:r w:rsidR="001930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930DE" w:rsidRPr="005C688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930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930DE" w:rsidRPr="005C688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772E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A2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2EF">
        <w:rPr>
          <w:rFonts w:ascii="Times New Roman" w:hAnsi="Times New Roman" w:cs="Times New Roman"/>
          <w:sz w:val="28"/>
          <w:szCs w:val="28"/>
          <w:lang w:val="uk-UA"/>
        </w:rPr>
        <w:t>Втім, враховуючи будь-який сценарій розвитку, слід зауважити, що різке зниження показників</w:t>
      </w:r>
      <w:r w:rsidR="004F4C9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3772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C99">
        <w:rPr>
          <w:rFonts w:ascii="Times New Roman" w:hAnsi="Times New Roman" w:cs="Times New Roman"/>
          <w:sz w:val="28"/>
          <w:szCs w:val="28"/>
          <w:lang w:val="uk-UA"/>
        </w:rPr>
        <w:t>найближчі роки не передбачається</w:t>
      </w:r>
      <w:r w:rsidR="003772E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3EC6" w:rsidRDefault="00661D3A" w:rsidP="00661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6487074" wp14:editId="5EE6C6D1">
            <wp:extent cx="5819775" cy="29813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025D" w:rsidRPr="003772EF" w:rsidRDefault="004C025D" w:rsidP="004C02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2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Рис. 1. Динаміка розвитку ІТ-галузі в Україні </w:t>
      </w:r>
      <w:r w:rsidR="00391501" w:rsidRPr="003772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Pr="003772EF">
        <w:rPr>
          <w:rFonts w:ascii="Times New Roman" w:hAnsi="Times New Roman" w:cs="Times New Roman"/>
          <w:b/>
          <w:sz w:val="24"/>
          <w:szCs w:val="24"/>
          <w:lang w:val="uk-UA"/>
        </w:rPr>
        <w:t>2015-2016</w:t>
      </w:r>
      <w:r w:rsidR="00391501" w:rsidRPr="003772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рр.</w:t>
      </w:r>
      <w:r w:rsidRPr="003772EF">
        <w:rPr>
          <w:rFonts w:ascii="Times New Roman" w:hAnsi="Times New Roman" w:cs="Times New Roman"/>
          <w:b/>
          <w:sz w:val="24"/>
          <w:szCs w:val="24"/>
          <w:lang w:val="uk-UA"/>
        </w:rPr>
        <w:t>; 2017-2025 – прогноз.</w:t>
      </w:r>
    </w:p>
    <w:p w:rsidR="00DE3DE0" w:rsidRPr="00C87B85" w:rsidRDefault="00C87B85" w:rsidP="00DE3DE0">
      <w:pPr>
        <w:spacing w:after="0" w:line="360" w:lineRule="auto"/>
        <w:jc w:val="both"/>
        <w:rPr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Джерело: </w:t>
      </w:r>
      <w:r w:rsidR="00DE3DE0" w:rsidRPr="00C87B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Офіційний сайт міжнародної мережі компаній </w:t>
      </w:r>
      <w:r w:rsidR="00DE3DE0" w:rsidRPr="00C87B85">
        <w:rPr>
          <w:rFonts w:ascii="Times New Roman" w:hAnsi="Times New Roman" w:cs="Times New Roman"/>
          <w:bCs/>
          <w:i/>
          <w:sz w:val="24"/>
          <w:szCs w:val="24"/>
          <w:lang w:val="en-US"/>
        </w:rPr>
        <w:t>PricewaterhouseCoopers</w:t>
      </w:r>
      <w:r w:rsidR="00DE3DE0" w:rsidRPr="00C87B85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(</w:t>
      </w:r>
      <w:r w:rsidR="00DE3DE0" w:rsidRPr="00C87B85">
        <w:rPr>
          <w:rFonts w:ascii="Times New Roman" w:hAnsi="Times New Roman" w:cs="Times New Roman"/>
          <w:bCs/>
          <w:i/>
          <w:sz w:val="24"/>
          <w:szCs w:val="24"/>
          <w:lang w:val="en-US"/>
        </w:rPr>
        <w:t>PwC</w:t>
      </w:r>
      <w:r w:rsidR="00DE3DE0" w:rsidRPr="00C87B85">
        <w:rPr>
          <w:rFonts w:ascii="Times New Roman" w:hAnsi="Times New Roman" w:cs="Times New Roman"/>
          <w:bCs/>
          <w:i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C87B85">
        <w:rPr>
          <w:rFonts w:ascii="Times New Roman" w:hAnsi="Times New Roman" w:cs="Times New Roman"/>
          <w:i/>
          <w:sz w:val="24"/>
          <w:szCs w:val="24"/>
          <w:lang w:val="uk-UA"/>
        </w:rPr>
        <w:t>[3]</w:t>
      </w:r>
      <w:r w:rsidRPr="00C87B85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DE3DE0" w:rsidRPr="00C87B85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</w:p>
    <w:p w:rsidR="004E51C1" w:rsidRDefault="00A64116" w:rsidP="00786E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контексті визначення </w:t>
      </w:r>
      <w:r w:rsidR="00EF1E0D">
        <w:rPr>
          <w:rFonts w:ascii="Times New Roman" w:hAnsi="Times New Roman" w:cs="Times New Roman"/>
          <w:sz w:val="28"/>
          <w:szCs w:val="28"/>
          <w:lang w:val="uk-UA"/>
        </w:rPr>
        <w:t xml:space="preserve">основних детермінант </w:t>
      </w:r>
      <w:r w:rsidR="0062709E">
        <w:rPr>
          <w:rFonts w:ascii="Times New Roman" w:hAnsi="Times New Roman" w:cs="Times New Roman"/>
          <w:sz w:val="28"/>
          <w:szCs w:val="28"/>
          <w:lang w:val="uk-UA"/>
        </w:rPr>
        <w:t>розвитку ІТ-</w:t>
      </w:r>
      <w:r w:rsidR="0056224B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62709E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</w:t>
      </w:r>
      <w:r w:rsidR="00684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09E">
        <w:rPr>
          <w:rFonts w:ascii="Times New Roman" w:hAnsi="Times New Roman" w:cs="Times New Roman"/>
          <w:sz w:val="28"/>
          <w:szCs w:val="28"/>
          <w:lang w:val="uk-UA"/>
        </w:rPr>
        <w:t>зазначити</w:t>
      </w:r>
      <w:r w:rsidR="004E51C1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>його стрімке зростання обумовлене</w:t>
      </w:r>
      <w:r w:rsidR="000409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передусім</w:t>
      </w:r>
      <w:r w:rsidR="000409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51C1">
        <w:rPr>
          <w:rFonts w:ascii="Times New Roman" w:hAnsi="Times New Roman" w:cs="Times New Roman"/>
          <w:sz w:val="28"/>
          <w:szCs w:val="28"/>
          <w:lang w:val="uk-UA"/>
        </w:rPr>
        <w:t xml:space="preserve"> загальносвітовою тенденцією </w:t>
      </w:r>
      <w:r w:rsidR="00EF1E0D">
        <w:rPr>
          <w:rFonts w:ascii="Times New Roman" w:hAnsi="Times New Roman" w:cs="Times New Roman"/>
          <w:sz w:val="28"/>
          <w:szCs w:val="28"/>
          <w:lang w:val="uk-UA"/>
        </w:rPr>
        <w:t>популяризації</w:t>
      </w:r>
      <w:r w:rsidR="004E51C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економіки та орієнтацією усіх ланок світового госпо</w:t>
      </w:r>
      <w:r w:rsidR="0017504D">
        <w:rPr>
          <w:rFonts w:ascii="Times New Roman" w:hAnsi="Times New Roman" w:cs="Times New Roman"/>
          <w:sz w:val="28"/>
          <w:szCs w:val="28"/>
          <w:lang w:val="uk-UA"/>
        </w:rPr>
        <w:t>дарства на її виклики. В умовах потужного впливу</w:t>
      </w:r>
      <w:r w:rsidR="0040049E">
        <w:rPr>
          <w:rFonts w:ascii="Times New Roman" w:hAnsi="Times New Roman" w:cs="Times New Roman"/>
          <w:sz w:val="28"/>
          <w:szCs w:val="28"/>
          <w:lang w:val="uk-UA"/>
        </w:rPr>
        <w:t xml:space="preserve"> науки і </w:t>
      </w:r>
      <w:r w:rsidR="006946BA">
        <w:rPr>
          <w:rFonts w:ascii="Times New Roman" w:hAnsi="Times New Roman" w:cs="Times New Roman"/>
          <w:sz w:val="28"/>
          <w:szCs w:val="28"/>
          <w:lang w:val="uk-UA"/>
        </w:rPr>
        <w:t>техніки на економічне зростання та</w:t>
      </w:r>
      <w:r w:rsidR="0040049E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 w:rsidR="006946B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0049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946B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0049E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конкурентоспроможності </w:t>
      </w:r>
      <w:r w:rsidR="0017504D">
        <w:rPr>
          <w:rFonts w:ascii="Times New Roman" w:hAnsi="Times New Roman" w:cs="Times New Roman"/>
          <w:sz w:val="28"/>
          <w:szCs w:val="28"/>
          <w:lang w:val="uk-UA"/>
        </w:rPr>
        <w:t>країн, Україна</w:t>
      </w:r>
      <w:r w:rsidR="0040049E">
        <w:rPr>
          <w:rFonts w:ascii="Times New Roman" w:hAnsi="Times New Roman" w:cs="Times New Roman"/>
          <w:sz w:val="28"/>
          <w:szCs w:val="28"/>
          <w:lang w:val="uk-UA"/>
        </w:rPr>
        <w:t>, яка володіє достатньо потужним інтелектуальним капіталом,</w:t>
      </w:r>
      <w:r w:rsidR="0017504D">
        <w:rPr>
          <w:rFonts w:ascii="Times New Roman" w:hAnsi="Times New Roman" w:cs="Times New Roman"/>
          <w:sz w:val="28"/>
          <w:szCs w:val="28"/>
          <w:lang w:val="uk-UA"/>
        </w:rPr>
        <w:t xml:space="preserve"> не може залишатися поза сферою такого впливу і прагне до побудови нової моделі економічного розвитку, заснованій на</w:t>
      </w:r>
      <w:r w:rsidR="0040049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технологіях.</w:t>
      </w:r>
      <w:r w:rsidR="00175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057C" w:rsidRPr="0064057C" w:rsidRDefault="005D3900" w:rsidP="00640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 вагомим фактором розвитку ві</w:t>
      </w:r>
      <w:r w:rsidR="00EC1A0F">
        <w:rPr>
          <w:rFonts w:ascii="Times New Roman" w:hAnsi="Times New Roman" w:cs="Times New Roman"/>
          <w:sz w:val="28"/>
          <w:szCs w:val="28"/>
          <w:lang w:val="uk-UA"/>
        </w:rPr>
        <w:t xml:space="preserve">тчизняної ІТ-галузі є наявність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потужного наукового потенціалу. </w:t>
      </w:r>
      <w:r w:rsidR="004666CE">
        <w:rPr>
          <w:rFonts w:ascii="Times New Roman" w:hAnsi="Times New Roman" w:cs="Times New Roman"/>
          <w:sz w:val="28"/>
          <w:szCs w:val="28"/>
          <w:lang w:val="uk-UA"/>
        </w:rPr>
        <w:t>Традиційно в</w:t>
      </w:r>
      <w:r>
        <w:rPr>
          <w:rFonts w:ascii="Times New Roman" w:hAnsi="Times New Roman" w:cs="Times New Roman"/>
          <w:sz w:val="28"/>
          <w:szCs w:val="28"/>
          <w:lang w:val="uk-UA"/>
        </w:rPr>
        <w:t>исокий рівень підготовки фахівців</w:t>
      </w:r>
      <w:r w:rsidR="00E91180">
        <w:rPr>
          <w:rFonts w:ascii="Times New Roman" w:hAnsi="Times New Roman" w:cs="Times New Roman"/>
          <w:sz w:val="28"/>
          <w:szCs w:val="28"/>
          <w:lang w:val="uk-UA"/>
        </w:rPr>
        <w:t xml:space="preserve"> за такими спеціальностям</w:t>
      </w:r>
      <w:r w:rsidR="00EC1A0F">
        <w:rPr>
          <w:rFonts w:ascii="Times New Roman" w:hAnsi="Times New Roman" w:cs="Times New Roman"/>
          <w:sz w:val="28"/>
          <w:szCs w:val="28"/>
          <w:lang w:val="uk-UA"/>
        </w:rPr>
        <w:t xml:space="preserve">и, як інженерія програмного забезпечення, </w:t>
      </w:r>
      <w:r w:rsidR="00EC1A0F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комп’ютерні науки та комп’ютерна інженерія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1180">
        <w:rPr>
          <w:rFonts w:ascii="Times New Roman" w:hAnsi="Times New Roman" w:cs="Times New Roman"/>
          <w:sz w:val="28"/>
          <w:szCs w:val="28"/>
          <w:lang w:val="uk-UA"/>
        </w:rPr>
        <w:t xml:space="preserve"> системний аналіз, інфо</w:t>
      </w:r>
      <w:r w:rsidR="001D0B4E">
        <w:rPr>
          <w:rFonts w:ascii="Times New Roman" w:hAnsi="Times New Roman" w:cs="Times New Roman"/>
          <w:sz w:val="28"/>
          <w:szCs w:val="28"/>
          <w:lang w:val="uk-UA"/>
        </w:rPr>
        <w:t xml:space="preserve">рмаційні системи та технології </w:t>
      </w:r>
      <w:r w:rsidR="00E91180">
        <w:rPr>
          <w:rFonts w:ascii="Times New Roman" w:hAnsi="Times New Roman" w:cs="Times New Roman"/>
          <w:sz w:val="28"/>
          <w:szCs w:val="28"/>
          <w:lang w:val="uk-UA"/>
        </w:rPr>
        <w:t>тощо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фундаментом розвитку технічної сфери </w:t>
      </w:r>
      <w:r w:rsidR="001D0B4E">
        <w:rPr>
          <w:rFonts w:ascii="Times New Roman" w:hAnsi="Times New Roman" w:cs="Times New Roman"/>
          <w:sz w:val="28"/>
          <w:szCs w:val="28"/>
          <w:lang w:val="uk-UA"/>
        </w:rPr>
        <w:t>як такої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0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E58">
        <w:rPr>
          <w:rFonts w:ascii="Times New Roman" w:hAnsi="Times New Roman" w:cs="Times New Roman"/>
          <w:sz w:val="28"/>
          <w:szCs w:val="28"/>
          <w:lang w:val="uk-UA"/>
        </w:rPr>
        <w:t>Разом з тим,</w:t>
      </w:r>
      <w:r w:rsidR="004666CE">
        <w:rPr>
          <w:rFonts w:ascii="Times New Roman" w:hAnsi="Times New Roman" w:cs="Times New Roman"/>
          <w:sz w:val="28"/>
          <w:szCs w:val="28"/>
          <w:lang w:val="uk-UA"/>
        </w:rPr>
        <w:t xml:space="preserve"> за деякими параметрами рівень підготовки майбутніх фахівців у галузі </w:t>
      </w:r>
      <w:r w:rsidR="001D0B4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інформаційних </w:t>
      </w:r>
      <w:r w:rsidR="004666CE">
        <w:rPr>
          <w:rFonts w:ascii="Times New Roman" w:hAnsi="Times New Roman" w:cs="Times New Roman"/>
          <w:sz w:val="28"/>
          <w:szCs w:val="28"/>
          <w:lang w:val="uk-UA"/>
        </w:rPr>
        <w:t>технологій не завжди</w:t>
      </w:r>
      <w:r w:rsidR="0064057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вимогам сучасності. </w:t>
      </w:r>
      <w:r w:rsidR="004666CE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C27E58">
        <w:rPr>
          <w:rFonts w:ascii="Times New Roman" w:hAnsi="Times New Roman" w:cs="Times New Roman"/>
          <w:sz w:val="28"/>
          <w:szCs w:val="28"/>
          <w:lang w:val="uk-UA"/>
        </w:rPr>
        <w:t>одн</w:t>
      </w:r>
      <w:r w:rsidR="001D0B4E">
        <w:rPr>
          <w:rFonts w:ascii="Times New Roman" w:hAnsi="Times New Roman" w:cs="Times New Roman"/>
          <w:sz w:val="28"/>
          <w:szCs w:val="28"/>
          <w:lang w:val="uk-UA"/>
        </w:rPr>
        <w:t>ією з проблем даної сфери</w:t>
      </w:r>
      <w:r w:rsidR="00C27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11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27E58">
        <w:rPr>
          <w:rFonts w:ascii="Times New Roman" w:hAnsi="Times New Roman" w:cs="Times New Roman"/>
          <w:sz w:val="28"/>
          <w:szCs w:val="28"/>
          <w:lang w:val="uk-UA"/>
        </w:rPr>
        <w:t>дефіцит висококваліфікованих фахівців</w:t>
      </w:r>
      <w:r w:rsidR="0064011F">
        <w:rPr>
          <w:rFonts w:ascii="Times New Roman" w:hAnsi="Times New Roman" w:cs="Times New Roman"/>
          <w:sz w:val="28"/>
          <w:szCs w:val="28"/>
          <w:lang w:val="uk-UA"/>
        </w:rPr>
        <w:t xml:space="preserve"> на тлі зр</w:t>
      </w:r>
      <w:r w:rsidR="00FB1C58">
        <w:rPr>
          <w:rFonts w:ascii="Times New Roman" w:hAnsi="Times New Roman" w:cs="Times New Roman"/>
          <w:sz w:val="28"/>
          <w:szCs w:val="28"/>
          <w:lang w:val="uk-UA"/>
        </w:rPr>
        <w:t xml:space="preserve">остання пропозиції робочої сили. Вирішення даної проблеми </w:t>
      </w:r>
      <w:r w:rsidR="00E1728E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1906F2">
        <w:rPr>
          <w:rFonts w:ascii="Times New Roman" w:hAnsi="Times New Roman" w:cs="Times New Roman"/>
          <w:sz w:val="28"/>
          <w:szCs w:val="28"/>
          <w:lang w:val="uk-UA"/>
        </w:rPr>
        <w:t>здійснюють</w:t>
      </w:r>
      <w:r w:rsidR="00E17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6F2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  <w:r w:rsidR="00190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28E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спеціалісти ІТ-сфери самостійно, </w:t>
      </w:r>
      <w:r w:rsidR="001D0B4E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E1728E">
        <w:rPr>
          <w:rFonts w:ascii="Times New Roman" w:hAnsi="Times New Roman" w:cs="Times New Roman"/>
          <w:sz w:val="28"/>
          <w:szCs w:val="28"/>
          <w:lang w:val="uk-UA"/>
        </w:rPr>
        <w:t>швидко</w:t>
      </w:r>
      <w:r w:rsidR="001D0B4E">
        <w:rPr>
          <w:rFonts w:ascii="Times New Roman" w:hAnsi="Times New Roman" w:cs="Times New Roman"/>
          <w:sz w:val="28"/>
          <w:szCs w:val="28"/>
          <w:lang w:val="uk-UA"/>
        </w:rPr>
        <w:t>ї переорієнтації</w:t>
      </w:r>
      <w:r w:rsidR="00E1728E">
        <w:rPr>
          <w:rFonts w:ascii="Times New Roman" w:hAnsi="Times New Roman" w:cs="Times New Roman"/>
          <w:sz w:val="28"/>
          <w:szCs w:val="28"/>
          <w:lang w:val="uk-UA"/>
        </w:rPr>
        <w:t xml:space="preserve"> і опан</w:t>
      </w:r>
      <w:r w:rsidR="001D0B4E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093EC6">
        <w:rPr>
          <w:rFonts w:ascii="Times New Roman" w:hAnsi="Times New Roman" w:cs="Times New Roman"/>
          <w:sz w:val="28"/>
          <w:szCs w:val="28"/>
          <w:lang w:val="uk-UA"/>
        </w:rPr>
        <w:t xml:space="preserve"> сучасн</w:t>
      </w:r>
      <w:r w:rsidR="001D0B4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93EC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на практиці,</w:t>
      </w:r>
      <w:r w:rsidR="001D0B4E">
        <w:rPr>
          <w:rFonts w:ascii="Times New Roman" w:hAnsi="Times New Roman" w:cs="Times New Roman"/>
          <w:sz w:val="28"/>
          <w:szCs w:val="28"/>
          <w:lang w:val="uk-UA"/>
        </w:rPr>
        <w:t xml:space="preserve"> частково – </w:t>
      </w:r>
      <w:r w:rsidR="00093EC6">
        <w:rPr>
          <w:rFonts w:ascii="Times New Roman" w:hAnsi="Times New Roman" w:cs="Times New Roman"/>
          <w:sz w:val="28"/>
          <w:szCs w:val="28"/>
          <w:lang w:val="uk-UA"/>
        </w:rPr>
        <w:t>ІТ-компанії, які сприяють професійному розвитку власних спеціалістів, в тому числі, шляхом внутрішнього інвестування.</w:t>
      </w:r>
      <w:r w:rsidR="0064057C" w:rsidRPr="00640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57C">
        <w:rPr>
          <w:rFonts w:ascii="Times New Roman" w:hAnsi="Times New Roman" w:cs="Times New Roman"/>
          <w:sz w:val="28"/>
          <w:szCs w:val="28"/>
          <w:lang w:val="uk-UA"/>
        </w:rPr>
        <w:t xml:space="preserve">Експерти Офісу ефективного регулювання </w:t>
      </w:r>
      <w:r w:rsidR="0064057C">
        <w:rPr>
          <w:rFonts w:ascii="Times New Roman" w:hAnsi="Times New Roman" w:cs="Times New Roman"/>
          <w:sz w:val="28"/>
          <w:szCs w:val="28"/>
          <w:lang w:val="en-US"/>
        </w:rPr>
        <w:t>BRDO</w:t>
      </w:r>
      <w:r w:rsidR="0064057C">
        <w:rPr>
          <w:rFonts w:ascii="Times New Roman" w:hAnsi="Times New Roman" w:cs="Times New Roman"/>
          <w:sz w:val="28"/>
          <w:szCs w:val="28"/>
          <w:lang w:val="uk-UA"/>
        </w:rPr>
        <w:t xml:space="preserve"> зазначають, що одним із способів вирішення даної проблеми є скорочення терміну підготовки ІТ-спеціаліста з 45-70 місяців до 31-59 місяців шляхом перегляду і модернізації навчальних програм</w:t>
      </w:r>
      <w:r w:rsidR="00553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B65" w:rsidRPr="005C688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53B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3B65" w:rsidRPr="005C688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405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3542" w:rsidRDefault="00510E6B" w:rsidP="00E80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одн</w:t>
      </w:r>
      <w:r w:rsidR="00553B65">
        <w:rPr>
          <w:rFonts w:ascii="Times New Roman" w:hAnsi="Times New Roman" w:cs="Times New Roman"/>
          <w:sz w:val="28"/>
          <w:szCs w:val="28"/>
          <w:lang w:val="uk-UA"/>
        </w:rPr>
        <w:t>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детермінанто</w:t>
      </w:r>
      <w:r w:rsidR="00553B65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українського ІТ-сектору є значний попит на його продукт за межами України, що набагато перевищує внутрішній попит,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вітчизняний споживач часто не готовий придбати і </w:t>
      </w:r>
      <w:r w:rsidR="00F971C0">
        <w:rPr>
          <w:rFonts w:ascii="Times New Roman" w:hAnsi="Times New Roman" w:cs="Times New Roman"/>
          <w:sz w:val="28"/>
          <w:szCs w:val="28"/>
          <w:lang w:val="uk-UA"/>
        </w:rPr>
        <w:t>впроваджувати складні технологічні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46F">
        <w:rPr>
          <w:rFonts w:ascii="Times New Roman" w:hAnsi="Times New Roman" w:cs="Times New Roman"/>
          <w:sz w:val="28"/>
          <w:szCs w:val="28"/>
          <w:lang w:val="uk-UA"/>
        </w:rPr>
        <w:t>Аналітики умовно поділяють ринок інформаційних технологій на два сектори. Перший включає компанії та науково-дослідні центри, що надають аутсорсингові послуги, другий – стартапи або компанії, діяльність який охоплює повний цикл ст</w:t>
      </w:r>
      <w:r w:rsidR="00031074">
        <w:rPr>
          <w:rFonts w:ascii="Times New Roman" w:hAnsi="Times New Roman" w:cs="Times New Roman"/>
          <w:sz w:val="28"/>
          <w:szCs w:val="28"/>
          <w:lang w:val="uk-UA"/>
        </w:rPr>
        <w:t>ворення інноваційного продукту,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які, </w:t>
      </w:r>
      <w:r w:rsidR="0003107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відповідно, можуть володіти і розпоряджатися </w:t>
      </w:r>
      <w:r w:rsidR="00F971C0">
        <w:rPr>
          <w:rFonts w:ascii="Times New Roman" w:hAnsi="Times New Roman" w:cs="Times New Roman"/>
          <w:sz w:val="28"/>
          <w:szCs w:val="28"/>
          <w:lang w:val="uk-UA"/>
        </w:rPr>
        <w:t>результатами своєї діяльності</w:t>
      </w:r>
      <w:r w:rsidR="000310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="0056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26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1683C">
        <w:rPr>
          <w:rFonts w:ascii="Times New Roman" w:hAnsi="Times New Roman" w:cs="Times New Roman"/>
          <w:sz w:val="28"/>
          <w:szCs w:val="28"/>
          <w:lang w:val="uk-UA"/>
        </w:rPr>
        <w:t>лизько</w:t>
      </w:r>
      <w:r w:rsidR="00795267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="00F1683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95267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7250B8" w:rsidRPr="007952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0B8">
        <w:rPr>
          <w:rFonts w:ascii="Times New Roman" w:hAnsi="Times New Roman" w:cs="Times New Roman"/>
          <w:sz w:val="28"/>
          <w:szCs w:val="28"/>
          <w:lang w:val="uk-UA"/>
        </w:rPr>
        <w:t>українських</w:t>
      </w:r>
      <w:r w:rsidR="007250B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609AD">
        <w:rPr>
          <w:rFonts w:ascii="Times New Roman" w:hAnsi="Times New Roman" w:cs="Times New Roman"/>
          <w:sz w:val="28"/>
          <w:szCs w:val="28"/>
          <w:lang w:val="uk-UA"/>
        </w:rPr>
        <w:t>ІТ-компаній</w:t>
      </w:r>
      <w:r w:rsidR="0079526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250B8">
        <w:rPr>
          <w:rFonts w:ascii="Times New Roman" w:hAnsi="Times New Roman" w:cs="Times New Roman"/>
          <w:sz w:val="28"/>
          <w:szCs w:val="28"/>
          <w:lang w:val="uk-UA"/>
        </w:rPr>
        <w:t xml:space="preserve"> фрілансерів</w:t>
      </w:r>
      <w:r w:rsidR="00357DBF">
        <w:rPr>
          <w:rFonts w:ascii="Times New Roman" w:hAnsi="Times New Roman" w:cs="Times New Roman"/>
          <w:sz w:val="28"/>
          <w:szCs w:val="28"/>
          <w:lang w:val="uk-UA"/>
        </w:rPr>
        <w:t xml:space="preserve"> працюють на умовах аутсорсингу. </w:t>
      </w:r>
      <w:r w:rsidR="007250B8">
        <w:rPr>
          <w:rFonts w:ascii="Times New Roman" w:hAnsi="Times New Roman" w:cs="Times New Roman"/>
          <w:sz w:val="28"/>
          <w:szCs w:val="28"/>
          <w:lang w:val="uk-UA"/>
        </w:rPr>
        <w:t>Найбільша частка замовлень на І</w:t>
      </w:r>
      <w:r w:rsidR="00B2146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250B8">
        <w:rPr>
          <w:rFonts w:ascii="Times New Roman" w:hAnsi="Times New Roman" w:cs="Times New Roman"/>
          <w:sz w:val="28"/>
          <w:szCs w:val="28"/>
          <w:lang w:val="uk-UA"/>
        </w:rPr>
        <w:t xml:space="preserve">-послуги надходить до України </w:t>
      </w:r>
      <w:r w:rsidR="00EA354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250B8">
        <w:rPr>
          <w:rFonts w:ascii="Times New Roman" w:hAnsi="Times New Roman" w:cs="Times New Roman"/>
          <w:sz w:val="28"/>
          <w:szCs w:val="28"/>
          <w:lang w:val="uk-UA"/>
        </w:rPr>
        <w:t xml:space="preserve">з США (54%), Великобританії (10%), Австралії (7%), Канади (5%) та Німеччини (3%). </w:t>
      </w:r>
      <w:r w:rsidR="00357DBF">
        <w:rPr>
          <w:rFonts w:ascii="Times New Roman" w:hAnsi="Times New Roman" w:cs="Times New Roman"/>
          <w:sz w:val="28"/>
          <w:szCs w:val="28"/>
          <w:lang w:val="uk-UA"/>
        </w:rPr>
        <w:t xml:space="preserve">У 2017 році </w:t>
      </w:r>
      <w:r w:rsidR="007250B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250B8" w:rsidRPr="00357DBF">
        <w:rPr>
          <w:rFonts w:ascii="Times New Roman" w:hAnsi="Times New Roman" w:cs="Times New Roman"/>
          <w:sz w:val="28"/>
          <w:szCs w:val="28"/>
          <w:lang w:val="uk-UA"/>
        </w:rPr>
        <w:t xml:space="preserve">рейтингу </w:t>
      </w:r>
      <w:r w:rsidR="00C87B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50B8" w:rsidRPr="00357DBF">
        <w:rPr>
          <w:rFonts w:ascii="Times New Roman" w:hAnsi="Times New Roman" w:cs="Times New Roman"/>
          <w:sz w:val="28"/>
          <w:szCs w:val="28"/>
        </w:rPr>
        <w:t>The</w:t>
      </w:r>
      <w:r w:rsidR="007250B8" w:rsidRPr="00357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0B8" w:rsidRPr="00357DBF">
        <w:rPr>
          <w:rFonts w:ascii="Times New Roman" w:hAnsi="Times New Roman" w:cs="Times New Roman"/>
          <w:sz w:val="28"/>
          <w:szCs w:val="28"/>
        </w:rPr>
        <w:t>Global</w:t>
      </w:r>
      <w:r w:rsidR="007250B8" w:rsidRPr="00357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0B8" w:rsidRPr="00357DBF">
        <w:rPr>
          <w:rFonts w:ascii="Times New Roman" w:hAnsi="Times New Roman" w:cs="Times New Roman"/>
          <w:sz w:val="28"/>
          <w:szCs w:val="28"/>
        </w:rPr>
        <w:t>Outsourcing</w:t>
      </w:r>
      <w:r w:rsidR="007250B8" w:rsidRPr="00357DBF">
        <w:rPr>
          <w:rFonts w:ascii="Times New Roman" w:hAnsi="Times New Roman" w:cs="Times New Roman"/>
          <w:sz w:val="28"/>
          <w:szCs w:val="28"/>
          <w:lang w:val="uk-UA"/>
        </w:rPr>
        <w:t xml:space="preserve"> 100</w:t>
      </w:r>
      <w:r w:rsidR="00C87B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50B8">
        <w:rPr>
          <w:rFonts w:ascii="Times New Roman" w:hAnsi="Times New Roman" w:cs="Times New Roman"/>
          <w:sz w:val="28"/>
          <w:szCs w:val="28"/>
          <w:lang w:val="uk-UA"/>
        </w:rPr>
        <w:t xml:space="preserve">, що визначає кращих постачальників ІТ-послуг, було включено </w:t>
      </w:r>
      <w:r w:rsidR="00357DBF">
        <w:rPr>
          <w:rFonts w:ascii="Times New Roman" w:hAnsi="Times New Roman" w:cs="Times New Roman"/>
          <w:sz w:val="28"/>
          <w:szCs w:val="28"/>
          <w:lang w:val="uk-UA"/>
        </w:rPr>
        <w:t>17 українських ІТ-компаній.</w:t>
      </w:r>
      <w:r w:rsidR="0056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25B4" w:rsidRDefault="00283BBE" w:rsidP="006A1E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Дана тенденція</w:t>
      </w:r>
      <w:r w:rsidR="0056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88D">
        <w:rPr>
          <w:rFonts w:ascii="Times New Roman" w:hAnsi="Times New Roman" w:cs="Times New Roman"/>
          <w:sz w:val="28"/>
          <w:szCs w:val="28"/>
          <w:lang w:val="uk-UA"/>
        </w:rPr>
        <w:t>вказує на</w:t>
      </w:r>
      <w:r w:rsidR="005609AD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експорту технологічних послуг, але, водночас, свідчить про </w:t>
      </w:r>
      <w:r w:rsidR="002373AB">
        <w:rPr>
          <w:rFonts w:ascii="Times New Roman" w:hAnsi="Times New Roman" w:cs="Times New Roman"/>
          <w:sz w:val="28"/>
          <w:szCs w:val="28"/>
          <w:lang w:val="uk-UA"/>
        </w:rPr>
        <w:t>орієнтаці</w:t>
      </w:r>
      <w:r w:rsidR="005609AD">
        <w:rPr>
          <w:rFonts w:ascii="Times New Roman" w:hAnsi="Times New Roman" w:cs="Times New Roman"/>
          <w:sz w:val="28"/>
          <w:szCs w:val="28"/>
          <w:lang w:val="uk-UA"/>
        </w:rPr>
        <w:t xml:space="preserve">ю вітчизняних досягнень </w:t>
      </w:r>
      <w:r w:rsidR="002373AB">
        <w:rPr>
          <w:rFonts w:ascii="Times New Roman" w:hAnsi="Times New Roman" w:cs="Times New Roman"/>
          <w:sz w:val="28"/>
          <w:szCs w:val="28"/>
          <w:lang w:val="uk-UA"/>
        </w:rPr>
        <w:t>на зовнішні ринки, обумовлен</w:t>
      </w:r>
      <w:r w:rsidR="005609A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37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455">
        <w:rPr>
          <w:rFonts w:ascii="Times New Roman" w:hAnsi="Times New Roman" w:cs="Times New Roman"/>
          <w:sz w:val="28"/>
          <w:szCs w:val="28"/>
          <w:lang w:val="uk-UA"/>
        </w:rPr>
        <w:t>значни</w:t>
      </w:r>
      <w:r w:rsidR="002373A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F4455">
        <w:rPr>
          <w:rFonts w:ascii="Times New Roman" w:hAnsi="Times New Roman" w:cs="Times New Roman"/>
          <w:sz w:val="28"/>
          <w:szCs w:val="28"/>
          <w:lang w:val="uk-UA"/>
        </w:rPr>
        <w:t xml:space="preserve"> попит</w:t>
      </w:r>
      <w:r w:rsidR="002373A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F4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3AB">
        <w:rPr>
          <w:rFonts w:ascii="Times New Roman" w:hAnsi="Times New Roman" w:cs="Times New Roman"/>
          <w:sz w:val="28"/>
          <w:szCs w:val="28"/>
          <w:lang w:val="uk-UA"/>
        </w:rPr>
        <w:t>на українських ІТ-фахівців за кордоном</w:t>
      </w:r>
      <w:r w:rsidR="009974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09AD">
        <w:rPr>
          <w:rFonts w:ascii="Times New Roman" w:hAnsi="Times New Roman" w:cs="Times New Roman"/>
          <w:sz w:val="28"/>
          <w:szCs w:val="28"/>
          <w:lang w:val="uk-UA"/>
        </w:rPr>
        <w:t xml:space="preserve"> в тому </w:t>
      </w:r>
      <w:r w:rsidR="005609AD">
        <w:rPr>
          <w:rFonts w:ascii="Times New Roman" w:hAnsi="Times New Roman" w:cs="Times New Roman"/>
          <w:sz w:val="28"/>
          <w:szCs w:val="28"/>
          <w:lang w:val="uk-UA"/>
        </w:rPr>
        <w:lastRenderedPageBreak/>
        <w:t>числі, завдяки дешевій робочий силі</w:t>
      </w:r>
      <w:r w:rsidR="00EA35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09AD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з</w:t>
      </w:r>
      <w:r w:rsidR="00CF2CA0">
        <w:rPr>
          <w:rFonts w:ascii="Times New Roman" w:hAnsi="Times New Roman" w:cs="Times New Roman"/>
          <w:sz w:val="28"/>
          <w:szCs w:val="28"/>
          <w:lang w:val="uk-UA"/>
        </w:rPr>
        <w:t xml:space="preserve"> вартістю аналогічних послуг </w:t>
      </w:r>
      <w:r w:rsidR="005609AD">
        <w:rPr>
          <w:rFonts w:ascii="Times New Roman" w:hAnsi="Times New Roman" w:cs="Times New Roman"/>
          <w:sz w:val="28"/>
          <w:szCs w:val="28"/>
          <w:lang w:val="uk-UA"/>
        </w:rPr>
        <w:t>світови</w:t>
      </w:r>
      <w:r w:rsidR="00CF2CA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609AD">
        <w:rPr>
          <w:rFonts w:ascii="Times New Roman" w:hAnsi="Times New Roman" w:cs="Times New Roman"/>
          <w:sz w:val="28"/>
          <w:szCs w:val="28"/>
          <w:lang w:val="uk-UA"/>
        </w:rPr>
        <w:t xml:space="preserve"> фахівц</w:t>
      </w:r>
      <w:r w:rsidR="00CF2CA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609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7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CA0">
        <w:rPr>
          <w:rFonts w:ascii="Times New Roman" w:hAnsi="Times New Roman" w:cs="Times New Roman"/>
          <w:sz w:val="28"/>
          <w:szCs w:val="28"/>
          <w:lang w:val="uk-UA"/>
        </w:rPr>
        <w:t xml:space="preserve">В цьому </w:t>
      </w:r>
      <w:r w:rsidR="00EA3542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9740A">
        <w:rPr>
          <w:rFonts w:ascii="Times New Roman" w:hAnsi="Times New Roman" w:cs="Times New Roman"/>
          <w:sz w:val="28"/>
          <w:szCs w:val="28"/>
          <w:lang w:val="uk-UA"/>
        </w:rPr>
        <w:t xml:space="preserve">небезпека для інноваційного </w:t>
      </w:r>
      <w:r w:rsidR="001C48B2">
        <w:rPr>
          <w:rFonts w:ascii="Times New Roman" w:hAnsi="Times New Roman" w:cs="Times New Roman"/>
          <w:sz w:val="28"/>
          <w:szCs w:val="28"/>
          <w:lang w:val="uk-UA"/>
        </w:rPr>
        <w:t>розвитку України</w:t>
      </w:r>
      <w:r w:rsidR="0099740A">
        <w:rPr>
          <w:rFonts w:ascii="Times New Roman" w:hAnsi="Times New Roman" w:cs="Times New Roman"/>
          <w:sz w:val="28"/>
          <w:szCs w:val="28"/>
          <w:lang w:val="uk-UA"/>
        </w:rPr>
        <w:t>, пов’язана з відтоком науково-технічних кадрів</w:t>
      </w:r>
      <w:r w:rsidR="006A1E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1E09">
        <w:rPr>
          <w:rFonts w:ascii="Times New Roman" w:hAnsi="Times New Roman" w:cs="Times New Roman"/>
          <w:sz w:val="28"/>
          <w:szCs w:val="28"/>
          <w:lang w:val="uk-UA"/>
        </w:rPr>
        <w:t xml:space="preserve">оскільки високий рівень мобільності </w:t>
      </w:r>
      <w:r w:rsidR="006A1E09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спеціалістів </w:t>
      </w:r>
      <w:r w:rsidR="006A1E09">
        <w:rPr>
          <w:rFonts w:ascii="Times New Roman" w:hAnsi="Times New Roman" w:cs="Times New Roman"/>
          <w:sz w:val="28"/>
          <w:szCs w:val="28"/>
          <w:lang w:val="uk-UA"/>
        </w:rPr>
        <w:t>ІТ-</w:t>
      </w:r>
      <w:r w:rsidR="006A1E09">
        <w:rPr>
          <w:rFonts w:ascii="Times New Roman" w:hAnsi="Times New Roman" w:cs="Times New Roman"/>
          <w:sz w:val="28"/>
          <w:szCs w:val="28"/>
          <w:lang w:val="uk-UA"/>
        </w:rPr>
        <w:t>сфери</w:t>
      </w:r>
      <w:r w:rsidR="006A1E09">
        <w:rPr>
          <w:rFonts w:ascii="Times New Roman" w:hAnsi="Times New Roman" w:cs="Times New Roman"/>
          <w:sz w:val="28"/>
          <w:szCs w:val="28"/>
          <w:lang w:val="uk-UA"/>
        </w:rPr>
        <w:t xml:space="preserve"> дозволяє їм працювати у будь-якій частині світу.</w:t>
      </w:r>
      <w:r w:rsidR="00093EC6">
        <w:rPr>
          <w:rFonts w:ascii="Times New Roman" w:hAnsi="Times New Roman" w:cs="Times New Roman"/>
          <w:sz w:val="28"/>
          <w:szCs w:val="28"/>
          <w:lang w:val="uk-UA"/>
        </w:rPr>
        <w:t xml:space="preserve"> З іншого боку, </w:t>
      </w:r>
      <w:r w:rsidR="00C05197">
        <w:rPr>
          <w:rFonts w:ascii="Times New Roman" w:hAnsi="Times New Roman" w:cs="Times New Roman"/>
          <w:sz w:val="28"/>
          <w:szCs w:val="28"/>
          <w:lang w:val="uk-UA"/>
        </w:rPr>
        <w:t>значний попит на вітчизняних спеціалістів</w:t>
      </w:r>
      <w:r w:rsidR="00797CFE">
        <w:rPr>
          <w:rFonts w:ascii="Times New Roman" w:hAnsi="Times New Roman" w:cs="Times New Roman"/>
          <w:sz w:val="28"/>
          <w:szCs w:val="28"/>
          <w:lang w:val="uk-UA"/>
        </w:rPr>
        <w:t xml:space="preserve"> за кордоном</w:t>
      </w:r>
      <w:r w:rsidR="00C05197">
        <w:rPr>
          <w:rFonts w:ascii="Times New Roman" w:hAnsi="Times New Roman" w:cs="Times New Roman"/>
          <w:sz w:val="28"/>
          <w:szCs w:val="28"/>
          <w:lang w:val="uk-UA"/>
        </w:rPr>
        <w:t xml:space="preserve"> має активізувати боротьбу за людський ресурс</w:t>
      </w:r>
      <w:r w:rsidR="00797CFE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C05197">
        <w:rPr>
          <w:rFonts w:ascii="Times New Roman" w:hAnsi="Times New Roman" w:cs="Times New Roman"/>
          <w:sz w:val="28"/>
          <w:szCs w:val="28"/>
          <w:lang w:val="uk-UA"/>
        </w:rPr>
        <w:t>, передусім, шляхом створення сприятливих умов для активної інноваційної діяльності та використання системи заохочень.</w:t>
      </w:r>
      <w:r w:rsidR="0056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507">
        <w:rPr>
          <w:rFonts w:ascii="Times New Roman" w:hAnsi="Times New Roman" w:cs="Times New Roman"/>
          <w:sz w:val="28"/>
          <w:szCs w:val="28"/>
          <w:lang w:val="uk-UA"/>
        </w:rPr>
        <w:t xml:space="preserve">За наявності </w:t>
      </w:r>
      <w:r w:rsidR="003367FD">
        <w:rPr>
          <w:rFonts w:ascii="Times New Roman" w:hAnsi="Times New Roman" w:cs="Times New Roman"/>
          <w:sz w:val="28"/>
          <w:szCs w:val="28"/>
          <w:lang w:val="uk-UA"/>
        </w:rPr>
        <w:t>позитивних зрушень</w:t>
      </w:r>
      <w:r w:rsidR="00990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FD">
        <w:rPr>
          <w:rFonts w:ascii="Times New Roman" w:hAnsi="Times New Roman" w:cs="Times New Roman"/>
          <w:sz w:val="28"/>
          <w:szCs w:val="28"/>
          <w:lang w:val="uk-UA"/>
        </w:rPr>
        <w:t xml:space="preserve">ІТ-компанії зможуть здійснити переорієнтацію з надання </w:t>
      </w:r>
      <w:r w:rsidR="00797CFE">
        <w:rPr>
          <w:rFonts w:ascii="Times New Roman" w:hAnsi="Times New Roman" w:cs="Times New Roman"/>
          <w:sz w:val="28"/>
          <w:szCs w:val="28"/>
          <w:lang w:val="uk-UA"/>
        </w:rPr>
        <w:t xml:space="preserve">аутсорсингових </w:t>
      </w:r>
      <w:r w:rsidR="003367FD">
        <w:rPr>
          <w:rFonts w:ascii="Times New Roman" w:hAnsi="Times New Roman" w:cs="Times New Roman"/>
          <w:sz w:val="28"/>
          <w:szCs w:val="28"/>
          <w:lang w:val="uk-UA"/>
        </w:rPr>
        <w:t>послуг на створення власного конкурентоспроможного продукту.</w:t>
      </w:r>
    </w:p>
    <w:p w:rsidR="00176C47" w:rsidRDefault="009E0321" w:rsidP="00176C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слід зазначити, що</w:t>
      </w:r>
      <w:r w:rsidR="00213304">
        <w:rPr>
          <w:rFonts w:ascii="Times New Roman" w:hAnsi="Times New Roman" w:cs="Times New Roman"/>
          <w:sz w:val="28"/>
          <w:szCs w:val="28"/>
          <w:lang w:val="uk-UA"/>
        </w:rPr>
        <w:t xml:space="preserve"> розмір середньої заробітної плати у вітчизняному ІТ-секторі </w:t>
      </w:r>
      <w:r w:rsidR="006A1E09">
        <w:rPr>
          <w:rFonts w:ascii="Times New Roman" w:hAnsi="Times New Roman" w:cs="Times New Roman"/>
          <w:sz w:val="28"/>
          <w:szCs w:val="28"/>
          <w:lang w:val="uk-UA"/>
        </w:rPr>
        <w:t>є достатньо високим</w:t>
      </w:r>
      <w:r w:rsidR="00213304">
        <w:rPr>
          <w:rFonts w:ascii="Times New Roman" w:hAnsi="Times New Roman" w:cs="Times New Roman"/>
          <w:sz w:val="28"/>
          <w:szCs w:val="28"/>
          <w:lang w:val="uk-UA"/>
        </w:rPr>
        <w:t xml:space="preserve">. І хоча значна частина доходу витрачається на оподаткування, а рівень заробітної плати в даному секторі є значно нижчим від рівня доходів іноземних фахівців, ця сфера залишається привабливою на ринку праці й сприяє залученню більшої кількості майбутніх ІТ-спеціалістів. Цікавою тенденцією </w:t>
      </w:r>
      <w:r w:rsidR="00BB01F0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213304">
        <w:rPr>
          <w:rFonts w:ascii="Times New Roman" w:hAnsi="Times New Roman" w:cs="Times New Roman"/>
          <w:sz w:val="28"/>
          <w:szCs w:val="28"/>
          <w:lang w:val="uk-UA"/>
        </w:rPr>
        <w:t>є те, що у Києві</w:t>
      </w:r>
      <w:r w:rsidR="00213304">
        <w:rPr>
          <w:rFonts w:ascii="Times New Roman" w:hAnsi="Times New Roman" w:cs="Times New Roman"/>
          <w:sz w:val="28"/>
          <w:szCs w:val="28"/>
          <w:lang w:val="uk-UA"/>
        </w:rPr>
        <w:t>, де розташовується переважна більшість ІТ-компаній,</w:t>
      </w:r>
      <w:r w:rsidR="00213304">
        <w:rPr>
          <w:rFonts w:ascii="Times New Roman" w:hAnsi="Times New Roman" w:cs="Times New Roman"/>
          <w:sz w:val="28"/>
          <w:szCs w:val="28"/>
          <w:lang w:val="uk-UA"/>
        </w:rPr>
        <w:t xml:space="preserve"> рівень заробітної плати не набагато вищий за рівень заробітної плати у регіонах (див. рис 2).</w:t>
      </w:r>
      <w:r w:rsidR="00176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3304" w:rsidRDefault="00213304" w:rsidP="002133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84380F6" wp14:editId="4A501D2A">
            <wp:extent cx="5225415" cy="3124200"/>
            <wp:effectExtent l="0" t="0" r="133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3304" w:rsidRPr="00213304" w:rsidRDefault="00213304" w:rsidP="0021330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33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Рис. 2. </w:t>
      </w:r>
      <w:r w:rsidRPr="00213304">
        <w:rPr>
          <w:rFonts w:ascii="Times New Roman" w:hAnsi="Times New Roman" w:cs="Times New Roman"/>
          <w:b/>
          <w:sz w:val="24"/>
          <w:szCs w:val="24"/>
          <w:lang w:val="uk-UA"/>
        </w:rPr>
        <w:t>Частка спеціалістів за регіонами та середня заробітна плата в ІТ-секторі.</w:t>
      </w:r>
    </w:p>
    <w:p w:rsidR="00213304" w:rsidRPr="00183D27" w:rsidRDefault="00213304" w:rsidP="00213304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83D27">
        <w:rPr>
          <w:rFonts w:ascii="Times New Roman" w:hAnsi="Times New Roman" w:cs="Times New Roman"/>
          <w:i/>
          <w:sz w:val="24"/>
          <w:szCs w:val="24"/>
          <w:lang w:val="uk-UA"/>
        </w:rPr>
        <w:t>Джерело:</w:t>
      </w:r>
      <w:r w:rsidRPr="00183D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83D27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Pr="00183D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фіційний сайт </w:t>
      </w:r>
      <w:r w:rsidR="00183D27" w:rsidRPr="00183D27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Pr="00183D27">
        <w:rPr>
          <w:rFonts w:ascii="Times New Roman" w:hAnsi="Times New Roman" w:cs="Times New Roman"/>
          <w:i/>
          <w:sz w:val="24"/>
          <w:szCs w:val="24"/>
          <w:lang w:val="uk-UA"/>
        </w:rPr>
        <w:t>фісу ефективного регулювання</w:t>
      </w:r>
      <w:r w:rsidRPr="00183D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83D27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183D27">
        <w:rPr>
          <w:rFonts w:ascii="Times New Roman" w:hAnsi="Times New Roman" w:cs="Times New Roman"/>
          <w:i/>
          <w:sz w:val="24"/>
          <w:szCs w:val="24"/>
          <w:lang w:val="en-US"/>
        </w:rPr>
        <w:t>BRDO</w:t>
      </w:r>
      <w:r w:rsidRPr="00183D27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183D27" w:rsidRPr="00183D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83D27" w:rsidRPr="00183D27">
        <w:rPr>
          <w:rFonts w:ascii="Times New Roman" w:hAnsi="Times New Roman" w:cs="Times New Roman"/>
          <w:i/>
          <w:sz w:val="24"/>
          <w:szCs w:val="24"/>
          <w:lang w:val="uk-UA"/>
        </w:rPr>
        <w:t>[2]</w:t>
      </w:r>
      <w:r w:rsidRPr="00183D2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E3866" w:rsidRDefault="002E3866" w:rsidP="002E3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відміну від продукції виробничого сектор</w:t>
      </w:r>
      <w:r w:rsidR="00E73799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в ІТ-галузі витрати на створення продукту часто є більш вагомими, але, фактично, разовими і такими, що </w:t>
      </w:r>
      <w:r w:rsidR="00183D27">
        <w:rPr>
          <w:rFonts w:ascii="Times New Roman" w:hAnsi="Times New Roman" w:cs="Times New Roman"/>
          <w:sz w:val="28"/>
          <w:szCs w:val="28"/>
          <w:lang w:val="uk-UA"/>
        </w:rPr>
        <w:t>повністю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покриваються майбутнім прибутком. </w:t>
      </w:r>
      <w:r w:rsidR="00F1532E">
        <w:rPr>
          <w:rFonts w:ascii="Times New Roman" w:hAnsi="Times New Roman" w:cs="Times New Roman"/>
          <w:sz w:val="28"/>
          <w:szCs w:val="28"/>
          <w:lang w:val="uk-UA"/>
        </w:rPr>
        <w:t xml:space="preserve">Основним активом компаній в </w:t>
      </w:r>
      <w:r w:rsidR="00176C47">
        <w:rPr>
          <w:rFonts w:ascii="Times New Roman" w:hAnsi="Times New Roman" w:cs="Times New Roman"/>
          <w:sz w:val="28"/>
          <w:szCs w:val="28"/>
          <w:lang w:val="uk-UA"/>
        </w:rPr>
        <w:t>галузі</w:t>
      </w:r>
      <w:r w:rsidR="00F1532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технологій</w:t>
      </w:r>
      <w:r w:rsidR="00176C47">
        <w:rPr>
          <w:rFonts w:ascii="Times New Roman" w:hAnsi="Times New Roman" w:cs="Times New Roman"/>
          <w:sz w:val="28"/>
          <w:szCs w:val="28"/>
          <w:lang w:val="uk-UA"/>
        </w:rPr>
        <w:t xml:space="preserve"> є людськ</w:t>
      </w:r>
      <w:r w:rsidR="00F1532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76C47">
        <w:rPr>
          <w:rFonts w:ascii="Times New Roman" w:hAnsi="Times New Roman" w:cs="Times New Roman"/>
          <w:sz w:val="28"/>
          <w:szCs w:val="28"/>
          <w:lang w:val="uk-UA"/>
        </w:rPr>
        <w:t xml:space="preserve"> ресурс, що виключає необхідність </w:t>
      </w:r>
      <w:r w:rsidR="00F1532E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 w:rsidR="00176C47">
        <w:rPr>
          <w:rFonts w:ascii="Times New Roman" w:hAnsi="Times New Roman" w:cs="Times New Roman"/>
          <w:sz w:val="28"/>
          <w:szCs w:val="28"/>
          <w:lang w:val="uk-UA"/>
        </w:rPr>
        <w:t>витрат на основні засоби.</w:t>
      </w:r>
      <w:r w:rsidR="00176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0DC7" w:rsidRDefault="0072570D" w:rsidP="00DD6D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останню роль у стрімком</w:t>
      </w:r>
      <w:r w:rsidR="000C35DC">
        <w:rPr>
          <w:rFonts w:ascii="Times New Roman" w:hAnsi="Times New Roman" w:cs="Times New Roman"/>
          <w:sz w:val="28"/>
          <w:szCs w:val="28"/>
          <w:lang w:val="uk-UA"/>
        </w:rPr>
        <w:t xml:space="preserve">у зростанні </w:t>
      </w:r>
      <w:r w:rsidR="00EB3D5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інформаційних технологій в Україні </w:t>
      </w:r>
      <w:r w:rsidR="00241432">
        <w:rPr>
          <w:rFonts w:ascii="Times New Roman" w:hAnsi="Times New Roman" w:cs="Times New Roman"/>
          <w:sz w:val="28"/>
          <w:szCs w:val="28"/>
          <w:lang w:val="uk-UA"/>
        </w:rPr>
        <w:t>відіграє</w:t>
      </w:r>
      <w:r w:rsidR="00F36F15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державного втручання у діяльніст</w:t>
      </w:r>
      <w:r w:rsidR="0087122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C35DC">
        <w:rPr>
          <w:rFonts w:ascii="Times New Roman" w:hAnsi="Times New Roman" w:cs="Times New Roman"/>
          <w:sz w:val="28"/>
          <w:szCs w:val="28"/>
          <w:lang w:val="uk-UA"/>
        </w:rPr>
        <w:t xml:space="preserve"> компа</w:t>
      </w:r>
      <w:r w:rsidR="00871224">
        <w:rPr>
          <w:rFonts w:ascii="Times New Roman" w:hAnsi="Times New Roman" w:cs="Times New Roman"/>
          <w:sz w:val="28"/>
          <w:szCs w:val="28"/>
          <w:lang w:val="uk-UA"/>
        </w:rPr>
        <w:t xml:space="preserve">ній, які працюють у цій </w:t>
      </w:r>
      <w:r w:rsidR="009C0F46">
        <w:rPr>
          <w:rFonts w:ascii="Times New Roman" w:hAnsi="Times New Roman" w:cs="Times New Roman"/>
          <w:sz w:val="28"/>
          <w:szCs w:val="28"/>
          <w:lang w:val="uk-UA"/>
        </w:rPr>
        <w:t>сфері</w:t>
      </w:r>
      <w:r w:rsidR="008712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18DB">
        <w:rPr>
          <w:rFonts w:ascii="Times New Roman" w:hAnsi="Times New Roman" w:cs="Times New Roman"/>
          <w:sz w:val="28"/>
          <w:szCs w:val="28"/>
          <w:lang w:val="uk-UA"/>
        </w:rPr>
        <w:t xml:space="preserve">Вітчизняний </w:t>
      </w:r>
      <w:r w:rsidR="000C35DC">
        <w:rPr>
          <w:rFonts w:ascii="Times New Roman" w:hAnsi="Times New Roman" w:cs="Times New Roman"/>
          <w:sz w:val="28"/>
          <w:szCs w:val="28"/>
          <w:lang w:val="uk-UA"/>
        </w:rPr>
        <w:t>ІТ-сектор</w:t>
      </w:r>
      <w:r w:rsidR="00F36F15">
        <w:rPr>
          <w:rFonts w:ascii="Times New Roman" w:hAnsi="Times New Roman" w:cs="Times New Roman"/>
          <w:sz w:val="28"/>
          <w:szCs w:val="28"/>
          <w:lang w:val="uk-UA"/>
        </w:rPr>
        <w:t>, що почав активно розвиватись</w:t>
      </w:r>
      <w:r w:rsidR="00BF1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F15">
        <w:rPr>
          <w:rFonts w:ascii="Times New Roman" w:hAnsi="Times New Roman" w:cs="Times New Roman"/>
          <w:sz w:val="28"/>
          <w:szCs w:val="28"/>
          <w:lang w:val="uk-UA"/>
        </w:rPr>
        <w:t>у 90-</w:t>
      </w:r>
      <w:r w:rsidR="00BF18DB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F36F1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BF18DB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="00F36F15">
        <w:rPr>
          <w:rFonts w:ascii="Times New Roman" w:hAnsi="Times New Roman" w:cs="Times New Roman"/>
          <w:sz w:val="28"/>
          <w:szCs w:val="28"/>
          <w:lang w:val="uk-UA"/>
        </w:rPr>
        <w:t xml:space="preserve"> ХХ століття,</w:t>
      </w:r>
      <w:r w:rsidR="000C35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224">
        <w:rPr>
          <w:rFonts w:ascii="Times New Roman" w:hAnsi="Times New Roman" w:cs="Times New Roman"/>
          <w:sz w:val="28"/>
          <w:szCs w:val="28"/>
          <w:lang w:val="uk-UA"/>
        </w:rPr>
        <w:t>продемонстрував</w:t>
      </w:r>
      <w:r w:rsidR="000C35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8DB">
        <w:rPr>
          <w:rFonts w:ascii="Times New Roman" w:hAnsi="Times New Roman" w:cs="Times New Roman"/>
          <w:sz w:val="28"/>
          <w:szCs w:val="28"/>
          <w:lang w:val="uk-UA"/>
        </w:rPr>
        <w:t>значн</w:t>
      </w:r>
      <w:r w:rsidR="0087122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90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224">
        <w:rPr>
          <w:rFonts w:ascii="Times New Roman" w:hAnsi="Times New Roman" w:cs="Times New Roman"/>
          <w:sz w:val="28"/>
          <w:szCs w:val="28"/>
          <w:lang w:val="uk-UA"/>
        </w:rPr>
        <w:t>потенціал</w:t>
      </w:r>
      <w:r w:rsidR="0029070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B2445F">
        <w:rPr>
          <w:rFonts w:ascii="Times New Roman" w:hAnsi="Times New Roman" w:cs="Times New Roman"/>
          <w:sz w:val="28"/>
          <w:szCs w:val="28"/>
          <w:lang w:val="uk-UA"/>
        </w:rPr>
        <w:t>стрімкого</w:t>
      </w:r>
      <w:r w:rsidR="0087122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саме завдяки його здатності до </w:t>
      </w:r>
      <w:r w:rsidR="0029070A">
        <w:rPr>
          <w:rFonts w:ascii="Times New Roman" w:hAnsi="Times New Roman" w:cs="Times New Roman"/>
          <w:sz w:val="28"/>
          <w:szCs w:val="28"/>
          <w:lang w:val="uk-UA"/>
        </w:rPr>
        <w:t>саморегулювання</w:t>
      </w:r>
      <w:r w:rsidR="00C537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18DB">
        <w:rPr>
          <w:rFonts w:ascii="Times New Roman" w:hAnsi="Times New Roman" w:cs="Times New Roman"/>
          <w:sz w:val="28"/>
          <w:szCs w:val="28"/>
          <w:lang w:val="uk-UA"/>
        </w:rPr>
        <w:t>внаслідок чого</w:t>
      </w:r>
      <w:r w:rsidR="00C53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D49">
        <w:rPr>
          <w:rFonts w:ascii="Times New Roman" w:hAnsi="Times New Roman" w:cs="Times New Roman"/>
          <w:sz w:val="28"/>
          <w:szCs w:val="28"/>
          <w:lang w:val="uk-UA"/>
        </w:rPr>
        <w:t>велика</w:t>
      </w:r>
      <w:r w:rsidR="00BF18DB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ІТ-компаній </w:t>
      </w:r>
      <w:r w:rsidR="00C5371B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B2445F">
        <w:rPr>
          <w:rFonts w:ascii="Times New Roman" w:hAnsi="Times New Roman" w:cs="Times New Roman"/>
          <w:sz w:val="28"/>
          <w:szCs w:val="28"/>
          <w:lang w:val="uk-UA"/>
        </w:rPr>
        <w:t xml:space="preserve">успішно </w:t>
      </w:r>
      <w:r w:rsidR="00DD6D33">
        <w:rPr>
          <w:rFonts w:ascii="Times New Roman" w:hAnsi="Times New Roman" w:cs="Times New Roman"/>
          <w:sz w:val="28"/>
          <w:szCs w:val="28"/>
          <w:lang w:val="uk-UA"/>
        </w:rPr>
        <w:t xml:space="preserve">працюють </w:t>
      </w:r>
      <w:r w:rsidR="00BF18DB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="00B244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194E" w:rsidRDefault="005A4D99" w:rsidP="00DD6D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вищезазначене, слід підкреслити, що Україна має достатньо потужний потенціал для розвитку сектору інформаційних технологій</w:t>
      </w:r>
      <w:r w:rsidR="00905D4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D49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роте, </w:t>
      </w:r>
      <w:r w:rsidR="0083169B">
        <w:rPr>
          <w:rFonts w:ascii="Times New Roman" w:hAnsi="Times New Roman" w:cs="Times New Roman"/>
          <w:sz w:val="28"/>
          <w:szCs w:val="28"/>
          <w:lang w:val="uk-UA"/>
        </w:rPr>
        <w:t>важливими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завданням</w:t>
      </w:r>
      <w:r w:rsidR="0083169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D4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покращення ум</w:t>
      </w:r>
      <w:r w:rsidR="0083169B">
        <w:rPr>
          <w:rFonts w:ascii="Times New Roman" w:hAnsi="Times New Roman" w:cs="Times New Roman"/>
          <w:sz w:val="28"/>
          <w:szCs w:val="28"/>
          <w:lang w:val="uk-UA"/>
        </w:rPr>
        <w:t xml:space="preserve">ов його функціонування є, зокрема, </w:t>
      </w:r>
      <w:r w:rsidR="000E2A05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0E2A05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людського капіталу,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заохочення </w:t>
      </w:r>
      <w:r w:rsidR="000E2A05">
        <w:rPr>
          <w:rFonts w:ascii="Times New Roman" w:hAnsi="Times New Roman" w:cs="Times New Roman"/>
          <w:sz w:val="28"/>
          <w:szCs w:val="28"/>
          <w:lang w:val="uk-UA"/>
        </w:rPr>
        <w:t>подальшо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E2A05">
        <w:rPr>
          <w:rFonts w:ascii="Times New Roman" w:hAnsi="Times New Roman" w:cs="Times New Roman"/>
          <w:sz w:val="28"/>
          <w:szCs w:val="28"/>
          <w:lang w:val="uk-UA"/>
        </w:rPr>
        <w:t xml:space="preserve"> саморегулюванн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E2A05">
        <w:rPr>
          <w:rFonts w:ascii="Times New Roman" w:hAnsi="Times New Roman" w:cs="Times New Roman"/>
          <w:sz w:val="28"/>
          <w:szCs w:val="28"/>
          <w:lang w:val="uk-UA"/>
        </w:rPr>
        <w:t xml:space="preserve"> ІТ-сектору, впровадж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0E2A05">
        <w:rPr>
          <w:rFonts w:ascii="Times New Roman" w:hAnsi="Times New Roman" w:cs="Times New Roman"/>
          <w:sz w:val="28"/>
          <w:szCs w:val="28"/>
          <w:lang w:val="uk-UA"/>
        </w:rPr>
        <w:t xml:space="preserve"> гнучк</w:t>
      </w:r>
      <w:r w:rsidR="0083169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E2A05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</w:t>
      </w:r>
      <w:r w:rsidR="0083169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E2A05">
        <w:rPr>
          <w:rFonts w:ascii="Times New Roman" w:hAnsi="Times New Roman" w:cs="Times New Roman"/>
          <w:sz w:val="28"/>
          <w:szCs w:val="28"/>
          <w:lang w:val="uk-UA"/>
        </w:rPr>
        <w:t xml:space="preserve"> податкової політики для </w:t>
      </w:r>
      <w:r w:rsidR="00DB7953">
        <w:rPr>
          <w:rFonts w:ascii="Times New Roman" w:hAnsi="Times New Roman" w:cs="Times New Roman"/>
          <w:sz w:val="28"/>
          <w:szCs w:val="28"/>
          <w:lang w:val="uk-UA"/>
        </w:rPr>
        <w:t>підприємств-</w:t>
      </w:r>
      <w:r w:rsidR="00E0782B">
        <w:rPr>
          <w:rFonts w:ascii="Times New Roman" w:hAnsi="Times New Roman" w:cs="Times New Roman"/>
          <w:sz w:val="28"/>
          <w:szCs w:val="28"/>
          <w:lang w:val="uk-UA"/>
        </w:rPr>
        <w:t>новаторів</w:t>
      </w:r>
      <w:r w:rsidR="0025473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B7953">
        <w:rPr>
          <w:rFonts w:ascii="Times New Roman" w:hAnsi="Times New Roman" w:cs="Times New Roman"/>
          <w:sz w:val="28"/>
          <w:szCs w:val="28"/>
          <w:lang w:val="uk-UA"/>
        </w:rPr>
        <w:t xml:space="preserve"> розви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1193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B7953">
        <w:rPr>
          <w:rFonts w:ascii="Times New Roman" w:hAnsi="Times New Roman" w:cs="Times New Roman"/>
          <w:sz w:val="28"/>
          <w:szCs w:val="28"/>
          <w:lang w:val="uk-UA"/>
        </w:rPr>
        <w:t xml:space="preserve"> внутрішн</w:t>
      </w:r>
      <w:r>
        <w:rPr>
          <w:rFonts w:ascii="Times New Roman" w:hAnsi="Times New Roman" w:cs="Times New Roman"/>
          <w:sz w:val="28"/>
          <w:szCs w:val="28"/>
          <w:lang w:val="uk-UA"/>
        </w:rPr>
        <w:t>ього рин</w:t>
      </w:r>
      <w:r w:rsidR="00DB795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B7953">
        <w:rPr>
          <w:rFonts w:ascii="Times New Roman" w:hAnsi="Times New Roman" w:cs="Times New Roman"/>
          <w:sz w:val="28"/>
          <w:szCs w:val="28"/>
          <w:lang w:val="uk-UA"/>
        </w:rPr>
        <w:t>, на якому існуватиме попит на інформаційні технології.</w:t>
      </w:r>
    </w:p>
    <w:p w:rsidR="002418C1" w:rsidRDefault="002418C1" w:rsidP="00756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05A" w:rsidRDefault="0075605A" w:rsidP="005C688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316E89" w:rsidRPr="005C688C" w:rsidRDefault="00316E89" w:rsidP="005C688C">
      <w:pPr>
        <w:pStyle w:val="a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539">
        <w:rPr>
          <w:rFonts w:ascii="Times New Roman" w:hAnsi="Times New Roman" w:cs="Times New Roman"/>
          <w:sz w:val="28"/>
          <w:szCs w:val="28"/>
          <w:lang w:val="uk-UA"/>
        </w:rPr>
        <w:t xml:space="preserve">Офіційний сайт Європейської Бізнес </w:t>
      </w:r>
      <w:r w:rsidR="003669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0539">
        <w:rPr>
          <w:rFonts w:ascii="Times New Roman" w:hAnsi="Times New Roman" w:cs="Times New Roman"/>
          <w:sz w:val="28"/>
          <w:szCs w:val="28"/>
          <w:lang w:val="uk-UA"/>
        </w:rPr>
        <w:t xml:space="preserve">соціації </w:t>
      </w:r>
      <w:r w:rsidRPr="00340539">
        <w:rPr>
          <w:rStyle w:val="a9"/>
          <w:rFonts w:ascii="Times New Roman" w:hAnsi="Times New Roman" w:cs="Times New Roman"/>
          <w:sz w:val="28"/>
          <w:szCs w:val="28"/>
        </w:rPr>
        <w:t>[</w:t>
      </w:r>
      <w:r w:rsidRPr="00340539">
        <w:rPr>
          <w:rStyle w:val="a9"/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340539">
        <w:rPr>
          <w:rStyle w:val="a9"/>
          <w:rFonts w:ascii="Times New Roman" w:hAnsi="Times New Roman" w:cs="Times New Roman"/>
          <w:sz w:val="28"/>
          <w:szCs w:val="28"/>
        </w:rPr>
        <w:t>]</w:t>
      </w:r>
      <w:r w:rsidRPr="00340539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. – Режим доступу: </w:t>
      </w:r>
      <w:r w:rsidR="005C688C" w:rsidRPr="005C688C">
        <w:rPr>
          <w:rFonts w:ascii="Times New Roman" w:hAnsi="Times New Roman" w:cs="Times New Roman"/>
          <w:sz w:val="28"/>
          <w:szCs w:val="28"/>
          <w:lang w:val="uk-UA"/>
        </w:rPr>
        <w:t>http://www.eba.com.ua</w:t>
      </w:r>
      <w:r w:rsidRPr="003405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88C" w:rsidRPr="001930DE" w:rsidRDefault="00F050AC" w:rsidP="005C688C">
      <w:pPr>
        <w:pStyle w:val="a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539">
        <w:rPr>
          <w:rFonts w:ascii="Times New Roman" w:hAnsi="Times New Roman" w:cs="Times New Roman"/>
          <w:sz w:val="28"/>
          <w:szCs w:val="28"/>
          <w:lang w:val="uk-UA"/>
        </w:rPr>
        <w:t>Офіційний сайт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539">
        <w:rPr>
          <w:rFonts w:ascii="Times New Roman" w:hAnsi="Times New Roman" w:cs="Times New Roman"/>
          <w:sz w:val="28"/>
          <w:szCs w:val="28"/>
          <w:lang w:val="uk-UA"/>
        </w:rPr>
        <w:t xml:space="preserve">Офісу ефективного регулювання </w:t>
      </w:r>
      <w:r w:rsidRPr="00340539">
        <w:rPr>
          <w:rFonts w:ascii="Times New Roman" w:hAnsi="Times New Roman" w:cs="Times New Roman"/>
          <w:sz w:val="28"/>
          <w:szCs w:val="28"/>
          <w:lang w:val="en-US"/>
        </w:rPr>
        <w:t>BRDO</w:t>
      </w:r>
      <w:r w:rsidRPr="0034053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40539">
        <w:rPr>
          <w:rStyle w:val="af"/>
          <w:rFonts w:ascii="Times New Roman" w:hAnsi="Times New Roman" w:cs="Times New Roman"/>
          <w:i w:val="0"/>
          <w:sz w:val="28"/>
          <w:szCs w:val="28"/>
          <w:lang w:val="en-US"/>
        </w:rPr>
        <w:t>Better</w:t>
      </w:r>
      <w:r w:rsidRPr="00340539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340539">
        <w:rPr>
          <w:rStyle w:val="af"/>
          <w:rFonts w:ascii="Times New Roman" w:hAnsi="Times New Roman" w:cs="Times New Roman"/>
          <w:i w:val="0"/>
          <w:sz w:val="28"/>
          <w:szCs w:val="28"/>
          <w:lang w:val="en-US"/>
        </w:rPr>
        <w:t>Regulation</w:t>
      </w:r>
      <w:r w:rsidRPr="00340539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340539">
        <w:rPr>
          <w:rStyle w:val="af"/>
          <w:rFonts w:ascii="Times New Roman" w:hAnsi="Times New Roman" w:cs="Times New Roman"/>
          <w:i w:val="0"/>
          <w:sz w:val="28"/>
          <w:szCs w:val="28"/>
          <w:lang w:val="en-US"/>
        </w:rPr>
        <w:t>Delivery</w:t>
      </w:r>
      <w:r w:rsidRPr="00340539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340539">
        <w:rPr>
          <w:rStyle w:val="af"/>
          <w:rFonts w:ascii="Times New Roman" w:hAnsi="Times New Roman" w:cs="Times New Roman"/>
          <w:i w:val="0"/>
          <w:sz w:val="28"/>
          <w:szCs w:val="28"/>
          <w:lang w:val="en-US"/>
        </w:rPr>
        <w:t>Office</w:t>
      </w:r>
      <w:r w:rsidRPr="0034053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0AC">
        <w:rPr>
          <w:rStyle w:val="a9"/>
          <w:rFonts w:ascii="Times New Roman" w:hAnsi="Times New Roman" w:cs="Times New Roman"/>
          <w:sz w:val="28"/>
          <w:szCs w:val="28"/>
          <w:lang w:val="uk-UA"/>
        </w:rPr>
        <w:t>[</w:t>
      </w:r>
      <w:r w:rsidRPr="00340539">
        <w:rPr>
          <w:rStyle w:val="a9"/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050AC">
        <w:rPr>
          <w:rStyle w:val="a9"/>
          <w:rFonts w:ascii="Times New Roman" w:hAnsi="Times New Roman" w:cs="Times New Roman"/>
          <w:sz w:val="28"/>
          <w:szCs w:val="28"/>
          <w:lang w:val="uk-UA"/>
        </w:rPr>
        <w:t>]</w:t>
      </w:r>
      <w:r w:rsidRPr="00340539">
        <w:rPr>
          <w:rStyle w:val="a9"/>
          <w:rFonts w:ascii="Times New Roman" w:hAnsi="Times New Roman" w:cs="Times New Roman"/>
          <w:sz w:val="28"/>
          <w:szCs w:val="28"/>
          <w:lang w:val="uk-UA"/>
        </w:rPr>
        <w:t>. – Режим доступу:</w:t>
      </w: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0DE" w:rsidRPr="001930D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930DE" w:rsidRPr="001930DE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="001930DE" w:rsidRPr="001930DE">
        <w:rPr>
          <w:rFonts w:ascii="Times New Roman" w:hAnsi="Times New Roman" w:cs="Times New Roman"/>
          <w:sz w:val="28"/>
          <w:szCs w:val="28"/>
          <w:lang w:val="en-US"/>
        </w:rPr>
        <w:t>brdo</w:t>
      </w:r>
      <w:r w:rsidR="001930DE" w:rsidRPr="001930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30DE" w:rsidRPr="001930D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930DE" w:rsidRPr="001930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30DE" w:rsidRPr="001930DE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1930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0DE" w:rsidRPr="00316E89" w:rsidRDefault="00B37254" w:rsidP="005C688C">
      <w:pPr>
        <w:pStyle w:val="a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539">
        <w:rPr>
          <w:rFonts w:ascii="Times New Roman" w:hAnsi="Times New Roman" w:cs="Times New Roman"/>
          <w:sz w:val="28"/>
          <w:szCs w:val="28"/>
          <w:lang w:val="uk-UA"/>
        </w:rPr>
        <w:t>Офіційний сайт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1501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міжнародної мережі компаній </w:t>
      </w:r>
      <w:r w:rsidRPr="00391501">
        <w:rPr>
          <w:rFonts w:ascii="Times New Roman" w:hAnsi="Times New Roman" w:cs="Times New Roman"/>
          <w:bCs/>
          <w:sz w:val="28"/>
          <w:szCs w:val="28"/>
          <w:lang w:val="en-US"/>
        </w:rPr>
        <w:t>PricewaterhouseCoopers</w:t>
      </w:r>
      <w:r w:rsidRPr="003915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391501">
        <w:rPr>
          <w:rFonts w:ascii="Times New Roman" w:hAnsi="Times New Roman" w:cs="Times New Roman"/>
          <w:bCs/>
          <w:sz w:val="28"/>
          <w:szCs w:val="28"/>
          <w:lang w:val="en-US"/>
        </w:rPr>
        <w:t>PwC</w:t>
      </w:r>
      <w:r w:rsidRPr="00391501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050AC">
        <w:rPr>
          <w:rStyle w:val="a9"/>
          <w:rFonts w:ascii="Times New Roman" w:hAnsi="Times New Roman" w:cs="Times New Roman"/>
          <w:sz w:val="28"/>
          <w:szCs w:val="28"/>
          <w:lang w:val="uk-UA"/>
        </w:rPr>
        <w:t>[</w:t>
      </w:r>
      <w:r w:rsidRPr="00340539">
        <w:rPr>
          <w:rStyle w:val="a9"/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050AC">
        <w:rPr>
          <w:rStyle w:val="a9"/>
          <w:rFonts w:ascii="Times New Roman" w:hAnsi="Times New Roman" w:cs="Times New Roman"/>
          <w:sz w:val="28"/>
          <w:szCs w:val="28"/>
          <w:lang w:val="uk-UA"/>
        </w:rPr>
        <w:t>]</w:t>
      </w:r>
      <w:r w:rsidRPr="00340539">
        <w:rPr>
          <w:rStyle w:val="a9"/>
          <w:rFonts w:ascii="Times New Roman" w:hAnsi="Times New Roman" w:cs="Times New Roman"/>
          <w:sz w:val="28"/>
          <w:szCs w:val="28"/>
          <w:lang w:val="uk-UA"/>
        </w:rPr>
        <w:t>. – Режим доступу:</w:t>
      </w: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254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B37254">
        <w:rPr>
          <w:rFonts w:ascii="Times New Roman" w:hAnsi="Times New Roman" w:cs="Times New Roman"/>
          <w:bCs/>
          <w:sz w:val="28"/>
          <w:szCs w:val="28"/>
          <w:lang w:val="uk-UA"/>
        </w:rPr>
        <w:t>://</w:t>
      </w:r>
      <w:r w:rsidRPr="00B37254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B3725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B37254">
        <w:rPr>
          <w:rFonts w:ascii="Times New Roman" w:hAnsi="Times New Roman" w:cs="Times New Roman"/>
          <w:bCs/>
          <w:sz w:val="28"/>
          <w:szCs w:val="28"/>
          <w:lang w:val="en-US"/>
        </w:rPr>
        <w:t>pwc</w:t>
      </w:r>
      <w:r w:rsidRPr="00B3725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B37254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C87B8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sectPr w:rsidR="001930DE" w:rsidRPr="00316E89" w:rsidSect="0058312F"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D4" w:rsidRDefault="005A2DD4" w:rsidP="00827B50">
      <w:pPr>
        <w:spacing w:after="0" w:line="240" w:lineRule="auto"/>
      </w:pPr>
      <w:r>
        <w:separator/>
      </w:r>
    </w:p>
  </w:endnote>
  <w:endnote w:type="continuationSeparator" w:id="0">
    <w:p w:rsidR="005A2DD4" w:rsidRDefault="005A2DD4" w:rsidP="0082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D4" w:rsidRDefault="005A2DD4" w:rsidP="00827B50">
      <w:pPr>
        <w:spacing w:after="0" w:line="240" w:lineRule="auto"/>
      </w:pPr>
      <w:r>
        <w:separator/>
      </w:r>
    </w:p>
  </w:footnote>
  <w:footnote w:type="continuationSeparator" w:id="0">
    <w:p w:rsidR="005A2DD4" w:rsidRDefault="005A2DD4" w:rsidP="0082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12CFB"/>
    <w:multiLevelType w:val="hybridMultilevel"/>
    <w:tmpl w:val="3D30B874"/>
    <w:lvl w:ilvl="0" w:tplc="D3AE6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006B"/>
    <w:multiLevelType w:val="hybridMultilevel"/>
    <w:tmpl w:val="F068514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692A0D"/>
    <w:multiLevelType w:val="hybridMultilevel"/>
    <w:tmpl w:val="F068514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54"/>
    <w:rsid w:val="00000F88"/>
    <w:rsid w:val="000136CC"/>
    <w:rsid w:val="00031074"/>
    <w:rsid w:val="000311F3"/>
    <w:rsid w:val="00040996"/>
    <w:rsid w:val="00045FD5"/>
    <w:rsid w:val="00080A13"/>
    <w:rsid w:val="00093EC6"/>
    <w:rsid w:val="000C35DC"/>
    <w:rsid w:val="000E2A05"/>
    <w:rsid w:val="000F6720"/>
    <w:rsid w:val="001017F8"/>
    <w:rsid w:val="0011340A"/>
    <w:rsid w:val="00122B26"/>
    <w:rsid w:val="00145834"/>
    <w:rsid w:val="0017504D"/>
    <w:rsid w:val="00176C47"/>
    <w:rsid w:val="00183D27"/>
    <w:rsid w:val="001906F2"/>
    <w:rsid w:val="00192847"/>
    <w:rsid w:val="001930DE"/>
    <w:rsid w:val="001A1769"/>
    <w:rsid w:val="001C48B2"/>
    <w:rsid w:val="001D0B4E"/>
    <w:rsid w:val="001D650D"/>
    <w:rsid w:val="00213304"/>
    <w:rsid w:val="002373AB"/>
    <w:rsid w:val="00241432"/>
    <w:rsid w:val="002418C1"/>
    <w:rsid w:val="002425B4"/>
    <w:rsid w:val="00254734"/>
    <w:rsid w:val="00283BBE"/>
    <w:rsid w:val="0029070A"/>
    <w:rsid w:val="00295674"/>
    <w:rsid w:val="0029692C"/>
    <w:rsid w:val="002A7C22"/>
    <w:rsid w:val="002E3866"/>
    <w:rsid w:val="002E40A5"/>
    <w:rsid w:val="00316E89"/>
    <w:rsid w:val="00331916"/>
    <w:rsid w:val="003367FD"/>
    <w:rsid w:val="00340539"/>
    <w:rsid w:val="003536DC"/>
    <w:rsid w:val="00357DBF"/>
    <w:rsid w:val="00366937"/>
    <w:rsid w:val="003748D8"/>
    <w:rsid w:val="003772EF"/>
    <w:rsid w:val="00382577"/>
    <w:rsid w:val="00391501"/>
    <w:rsid w:val="003A194E"/>
    <w:rsid w:val="003A295F"/>
    <w:rsid w:val="003F5F6D"/>
    <w:rsid w:val="0040049E"/>
    <w:rsid w:val="004666CE"/>
    <w:rsid w:val="0047449D"/>
    <w:rsid w:val="00494029"/>
    <w:rsid w:val="004A1688"/>
    <w:rsid w:val="004A7F82"/>
    <w:rsid w:val="004B008F"/>
    <w:rsid w:val="004B204B"/>
    <w:rsid w:val="004C025D"/>
    <w:rsid w:val="004E51C1"/>
    <w:rsid w:val="004F4C99"/>
    <w:rsid w:val="00510E6B"/>
    <w:rsid w:val="005476C2"/>
    <w:rsid w:val="00553B65"/>
    <w:rsid w:val="005609AD"/>
    <w:rsid w:val="0056224B"/>
    <w:rsid w:val="00562D96"/>
    <w:rsid w:val="0056440A"/>
    <w:rsid w:val="00570E0A"/>
    <w:rsid w:val="0057288D"/>
    <w:rsid w:val="0058312F"/>
    <w:rsid w:val="005925AE"/>
    <w:rsid w:val="005A2DD4"/>
    <w:rsid w:val="005A4D99"/>
    <w:rsid w:val="005B428F"/>
    <w:rsid w:val="005C061C"/>
    <w:rsid w:val="005C688C"/>
    <w:rsid w:val="005D3900"/>
    <w:rsid w:val="005D620A"/>
    <w:rsid w:val="005E22B1"/>
    <w:rsid w:val="006242FF"/>
    <w:rsid w:val="0062709E"/>
    <w:rsid w:val="0064011F"/>
    <w:rsid w:val="0064057C"/>
    <w:rsid w:val="00661D3A"/>
    <w:rsid w:val="00670095"/>
    <w:rsid w:val="00684B68"/>
    <w:rsid w:val="006946BA"/>
    <w:rsid w:val="006A1E09"/>
    <w:rsid w:val="007250B8"/>
    <w:rsid w:val="0072570D"/>
    <w:rsid w:val="007439D1"/>
    <w:rsid w:val="0075605A"/>
    <w:rsid w:val="00786E40"/>
    <w:rsid w:val="00790300"/>
    <w:rsid w:val="00795267"/>
    <w:rsid w:val="00797CFE"/>
    <w:rsid w:val="007C13E7"/>
    <w:rsid w:val="007D2054"/>
    <w:rsid w:val="007D3E24"/>
    <w:rsid w:val="00804EFE"/>
    <w:rsid w:val="008218E3"/>
    <w:rsid w:val="00827B50"/>
    <w:rsid w:val="0083169B"/>
    <w:rsid w:val="00832AA8"/>
    <w:rsid w:val="00853871"/>
    <w:rsid w:val="00865507"/>
    <w:rsid w:val="00871224"/>
    <w:rsid w:val="0087652C"/>
    <w:rsid w:val="00886C0B"/>
    <w:rsid w:val="0089262A"/>
    <w:rsid w:val="008A60DA"/>
    <w:rsid w:val="008B6DF6"/>
    <w:rsid w:val="00905D49"/>
    <w:rsid w:val="00907DD8"/>
    <w:rsid w:val="009134A0"/>
    <w:rsid w:val="00934798"/>
    <w:rsid w:val="0094406B"/>
    <w:rsid w:val="00990614"/>
    <w:rsid w:val="0099740A"/>
    <w:rsid w:val="009C0F46"/>
    <w:rsid w:val="009E0321"/>
    <w:rsid w:val="009F164B"/>
    <w:rsid w:val="009F7786"/>
    <w:rsid w:val="00A35C47"/>
    <w:rsid w:val="00A44BDE"/>
    <w:rsid w:val="00A64116"/>
    <w:rsid w:val="00A81194"/>
    <w:rsid w:val="00A86039"/>
    <w:rsid w:val="00AA1839"/>
    <w:rsid w:val="00B2146F"/>
    <w:rsid w:val="00B238C9"/>
    <w:rsid w:val="00B2445F"/>
    <w:rsid w:val="00B37254"/>
    <w:rsid w:val="00B52FEF"/>
    <w:rsid w:val="00B936D2"/>
    <w:rsid w:val="00B96564"/>
    <w:rsid w:val="00BB01F0"/>
    <w:rsid w:val="00BB0DC7"/>
    <w:rsid w:val="00BB4CE5"/>
    <w:rsid w:val="00BF0A09"/>
    <w:rsid w:val="00BF18DB"/>
    <w:rsid w:val="00BF7B5F"/>
    <w:rsid w:val="00C05197"/>
    <w:rsid w:val="00C11934"/>
    <w:rsid w:val="00C22743"/>
    <w:rsid w:val="00C22860"/>
    <w:rsid w:val="00C2366B"/>
    <w:rsid w:val="00C27E58"/>
    <w:rsid w:val="00C5371B"/>
    <w:rsid w:val="00C7748C"/>
    <w:rsid w:val="00C87B85"/>
    <w:rsid w:val="00C938A3"/>
    <w:rsid w:val="00CC5C0B"/>
    <w:rsid w:val="00CE6C7A"/>
    <w:rsid w:val="00CF2CA0"/>
    <w:rsid w:val="00D043D4"/>
    <w:rsid w:val="00D11B72"/>
    <w:rsid w:val="00D15475"/>
    <w:rsid w:val="00D82C5A"/>
    <w:rsid w:val="00DB7953"/>
    <w:rsid w:val="00DD6D33"/>
    <w:rsid w:val="00DE3DE0"/>
    <w:rsid w:val="00E0782B"/>
    <w:rsid w:val="00E1728E"/>
    <w:rsid w:val="00E34AB2"/>
    <w:rsid w:val="00E57589"/>
    <w:rsid w:val="00E6206C"/>
    <w:rsid w:val="00E65952"/>
    <w:rsid w:val="00E6708C"/>
    <w:rsid w:val="00E73799"/>
    <w:rsid w:val="00E80E40"/>
    <w:rsid w:val="00E91180"/>
    <w:rsid w:val="00EA3542"/>
    <w:rsid w:val="00EB3D52"/>
    <w:rsid w:val="00EC1A0F"/>
    <w:rsid w:val="00EC6D1B"/>
    <w:rsid w:val="00ED6915"/>
    <w:rsid w:val="00EF1E0D"/>
    <w:rsid w:val="00EF4455"/>
    <w:rsid w:val="00F050AC"/>
    <w:rsid w:val="00F1532E"/>
    <w:rsid w:val="00F1683C"/>
    <w:rsid w:val="00F21710"/>
    <w:rsid w:val="00F36F15"/>
    <w:rsid w:val="00F40584"/>
    <w:rsid w:val="00F40EDF"/>
    <w:rsid w:val="00F46685"/>
    <w:rsid w:val="00F66525"/>
    <w:rsid w:val="00F971C0"/>
    <w:rsid w:val="00FB1C58"/>
    <w:rsid w:val="00F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FC61-5A21-4DB4-82D8-D976AAE9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2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8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80A13"/>
    <w:rPr>
      <w:color w:val="0000FF"/>
      <w:u w:val="single"/>
    </w:rPr>
  </w:style>
  <w:style w:type="character" w:customStyle="1" w:styleId="nowrap">
    <w:name w:val="nowrap"/>
    <w:basedOn w:val="a0"/>
    <w:rsid w:val="00494029"/>
  </w:style>
  <w:style w:type="character" w:customStyle="1" w:styleId="no-wikidata">
    <w:name w:val="no-wikidata"/>
    <w:basedOn w:val="a0"/>
    <w:rsid w:val="002A7C22"/>
  </w:style>
  <w:style w:type="character" w:customStyle="1" w:styleId="xbe">
    <w:name w:val="_xbe"/>
    <w:basedOn w:val="a0"/>
    <w:rsid w:val="002A7C22"/>
  </w:style>
  <w:style w:type="paragraph" w:styleId="a6">
    <w:name w:val="endnote text"/>
    <w:basedOn w:val="a"/>
    <w:link w:val="a7"/>
    <w:uiPriority w:val="99"/>
    <w:semiHidden/>
    <w:unhideWhenUsed/>
    <w:rsid w:val="00827B5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27B5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27B50"/>
    <w:rPr>
      <w:vertAlign w:val="superscript"/>
    </w:rPr>
  </w:style>
  <w:style w:type="character" w:customStyle="1" w:styleId="a9">
    <w:name w:val="Немає"/>
    <w:rsid w:val="00827B50"/>
  </w:style>
  <w:style w:type="paragraph" w:styleId="aa">
    <w:name w:val="List Paragraph"/>
    <w:basedOn w:val="a"/>
    <w:uiPriority w:val="34"/>
    <w:qFormat/>
    <w:rsid w:val="00093EC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6652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6652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66525"/>
    <w:rPr>
      <w:vertAlign w:val="superscript"/>
    </w:rPr>
  </w:style>
  <w:style w:type="character" w:styleId="ae">
    <w:name w:val="Strong"/>
    <w:basedOn w:val="a0"/>
    <w:uiPriority w:val="22"/>
    <w:qFormat/>
    <w:rsid w:val="006242FF"/>
    <w:rPr>
      <w:b/>
      <w:bCs/>
    </w:rPr>
  </w:style>
  <w:style w:type="character" w:styleId="af">
    <w:name w:val="Emphasis"/>
    <w:basedOn w:val="a0"/>
    <w:uiPriority w:val="20"/>
    <w:qFormat/>
    <w:rsid w:val="009F77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3;&#1040;&#1059;&#1050;&#1040;%20&#1087;&#1086;&#1089;&#1083;&#1077;%20&#1079;&#1072;&#1097;&#1080;&#1090;&#1099;\&#1030;&#1058;-&#1089;&#1077;&#1082;&#1090;&#1086;&#1088;\&#1055;&#1086;&#1089;&#1083;&#1091;&#1075;&#1080;%20(&#1042;&#1086;&#1089;&#1089;&#1090;&#1072;&#1085;&#1086;&#1074;&#1083;&#1077;&#1085;&#1085;&#1099;&#1081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3;&#1040;&#1059;&#1050;&#1040;%20&#1087;&#1086;&#1089;&#1083;&#1077;%20&#1079;&#1072;&#1097;&#1080;&#1090;&#1099;\&#1030;&#1058;-&#1089;&#1077;&#1082;&#1090;&#1086;&#1088;\&#1055;&#1086;&#1089;&#1083;&#1091;&#1075;&#1080;%20(&#1042;&#1086;&#1089;&#1089;&#1090;&#1072;&#1085;&#1086;&#1074;&#1083;&#1077;&#1085;&#1085;&#1099;&#1081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v>Дохід галузі, млрд. дол. США</c:v>
          </c:tx>
          <c:spPr>
            <a:solidFill>
              <a:schemeClr val="dk1">
                <a:tint val="5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Лист1!$A$13:$A$23</c:f>
              <c:numCache>
                <c:formatCode>General</c:formatCode>
                <c:ptCount val="11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</c:numCache>
            </c:numRef>
          </c:cat>
          <c:val>
            <c:numRef>
              <c:f>Лист1!$C$13:$C$23</c:f>
              <c:numCache>
                <c:formatCode>General</c:formatCode>
                <c:ptCount val="11"/>
                <c:pt idx="0">
                  <c:v>2.7</c:v>
                </c:pt>
                <c:pt idx="1">
                  <c:v>3</c:v>
                </c:pt>
                <c:pt idx="2">
                  <c:v>3.6</c:v>
                </c:pt>
                <c:pt idx="3">
                  <c:v>4.5</c:v>
                </c:pt>
                <c:pt idx="4">
                  <c:v>5</c:v>
                </c:pt>
                <c:pt idx="5">
                  <c:v>5.4</c:v>
                </c:pt>
                <c:pt idx="6">
                  <c:v>5.8</c:v>
                </c:pt>
                <c:pt idx="7">
                  <c:v>6.3</c:v>
                </c:pt>
                <c:pt idx="8">
                  <c:v>6.9</c:v>
                </c:pt>
                <c:pt idx="9">
                  <c:v>7.6</c:v>
                </c:pt>
                <c:pt idx="10">
                  <c:v>8.4</c:v>
                </c:pt>
              </c:numCache>
            </c:numRef>
          </c:val>
        </c:ser>
        <c:ser>
          <c:idx val="0"/>
          <c:order val="1"/>
          <c:tx>
            <c:v>Кількість спеціалістів у ІТ-сфері, тисяч осіб</c:v>
          </c:tx>
          <c:spPr>
            <a:solidFill>
              <a:schemeClr val="dk1">
                <a:tint val="885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Лист1!$A$13:$A$23</c:f>
              <c:numCache>
                <c:formatCode>General</c:formatCode>
                <c:ptCount val="11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</c:numCache>
            </c:numRef>
          </c:cat>
          <c:val>
            <c:numRef>
              <c:f>Лист1!$B$13:$B$23</c:f>
              <c:numCache>
                <c:formatCode>General</c:formatCode>
                <c:ptCount val="11"/>
                <c:pt idx="0">
                  <c:v>91.2</c:v>
                </c:pt>
                <c:pt idx="1">
                  <c:v>99.8</c:v>
                </c:pt>
                <c:pt idx="2">
                  <c:v>116.1</c:v>
                </c:pt>
                <c:pt idx="3">
                  <c:v>144.1</c:v>
                </c:pt>
                <c:pt idx="4">
                  <c:v>158.5</c:v>
                </c:pt>
                <c:pt idx="5">
                  <c:v>168.3</c:v>
                </c:pt>
                <c:pt idx="6">
                  <c:v>179.2</c:v>
                </c:pt>
                <c:pt idx="7">
                  <c:v>191.9</c:v>
                </c:pt>
                <c:pt idx="8">
                  <c:v>206.2</c:v>
                </c:pt>
                <c:pt idx="9">
                  <c:v>222.6</c:v>
                </c:pt>
                <c:pt idx="10">
                  <c:v>241.6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9737072"/>
        <c:axId val="519736288"/>
      </c:barChart>
      <c:catAx>
        <c:axId val="51973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9736288"/>
        <c:crosses val="autoZero"/>
        <c:auto val="1"/>
        <c:lblAlgn val="ctr"/>
        <c:lblOffset val="100"/>
        <c:noMultiLvlLbl val="0"/>
      </c:catAx>
      <c:valAx>
        <c:axId val="5197362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973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Лист4!$B$1</c:f>
              <c:strCache>
                <c:ptCount val="1"/>
                <c:pt idx="0">
                  <c:v>Частка спеціалістів ІТ-сфери за регіонами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4478115854714632E-2"/>
                  <c:y val="-5.0802572755328637E-2"/>
                </c:manualLayout>
              </c:layout>
              <c:tx>
                <c:rich>
                  <a:bodyPr/>
                  <a:lstStyle/>
                  <a:p>
                    <a:fld id="{1F3A0B4B-B1EC-4A46-9958-CD495F77CE25}" type="PERCENTAGE"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</a:t>
                    </a:r>
                  </a:p>
                  <a:p>
                    <a:fld id="{506AE582-E430-49B0-B78B-7B623E978967}" type="CELLRANGE"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[ДИАПАЗОН ЯЧЕЕК]</a:t>
                    </a:fld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-1.6689849446752662E-2"/>
                  <c:y val="-2.6373626373626266E-2"/>
                </c:manualLayout>
              </c:layout>
              <c:tx>
                <c:rich>
                  <a:bodyPr/>
                  <a:lstStyle/>
                  <a:p>
                    <a:fld id="{A1EE4480-8A8F-48E0-B28D-BF4CE69DBCE1}" type="PERCENTAGE"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</a:t>
                    </a:r>
                  </a:p>
                  <a:p>
                    <a:fld id="{AA02F38A-4876-4C08-8F3B-353CE7797224}" type="CELLRANGE"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[ДИАПАЗОН ЯЧЕЕК]</a:t>
                    </a:fld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1.3147600472747647E-2"/>
                  <c:y val="1.2179631392229818E-2"/>
                </c:manualLayout>
              </c:layout>
              <c:tx>
                <c:rich>
                  <a:bodyPr/>
                  <a:lstStyle/>
                  <a:p>
                    <a:fld id="{8ED95D8A-1996-44EC-95EC-BE4D5F18E6F5}" type="PERCENTAGE"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</a:t>
                    </a:r>
                  </a:p>
                  <a:p>
                    <a:fld id="{0F32B141-E0D9-4F40-A08D-281AC349B9B1}" type="CELLRANGE"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[ДИАПАЗОН ЯЧЕЕК]</a:t>
                    </a:fld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layout>
                <c:manualLayout>
                  <c:x val="1.1044796256801047E-3"/>
                  <c:y val="-0.15267330045282801"/>
                </c:manualLayout>
              </c:layout>
              <c:tx>
                <c:rich>
                  <a:bodyPr/>
                  <a:lstStyle/>
                  <a:p>
                    <a:fld id="{D8A5B829-FAA9-49DF-85BB-B9C912D93C7D}" type="PERCENTAGE"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</a:t>
                    </a:r>
                  </a:p>
                  <a:p>
                    <a:fld id="{F738B96D-230B-4860-83FF-1D3250095D8F}" type="CELLRANGE"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[ДИАПАЗОН ЯЧЕЕК]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1.7785567996607712E-2"/>
                  <c:y val="-4.7856710218914959E-2"/>
                </c:manualLayout>
              </c:layout>
              <c:tx>
                <c:rich>
                  <a:bodyPr/>
                  <a:lstStyle/>
                  <a:p>
                    <a:fld id="{2B34E9AF-17B4-41DA-ACD8-75F0458A48FF}" type="PERCENTAGE"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</a:t>
                    </a:r>
                  </a:p>
                  <a:p>
                    <a:fld id="{4F21E614-48F7-42B3-BCA6-E2E13BD2D1DB}" type="CELLRANGE"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[ДИАПАЗОН ЯЧЕЕК]</a:t>
                    </a:fld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5"/>
              <c:layout>
                <c:manualLayout>
                  <c:x val="-3.8305175722358038E-2"/>
                  <c:y val="1.6867122378932942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16%;</a:t>
                    </a:r>
                  </a:p>
                  <a:p>
                    <a:fld id="{63F11BF0-9959-45B3-A9C7-9FBE48A662A6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Лист4!$A$2:$A$7</c:f>
              <c:strCache>
                <c:ptCount val="6"/>
                <c:pt idx="0">
                  <c:v>Київ</c:v>
                </c:pt>
                <c:pt idx="1">
                  <c:v>Харків</c:v>
                </c:pt>
                <c:pt idx="2">
                  <c:v>Львів</c:v>
                </c:pt>
                <c:pt idx="3">
                  <c:v>Дніпро </c:v>
                </c:pt>
                <c:pt idx="4">
                  <c:v>Одеса</c:v>
                </c:pt>
                <c:pt idx="5">
                  <c:v>Інші регіони </c:v>
                </c:pt>
              </c:strCache>
            </c:strRef>
          </c:cat>
          <c:val>
            <c:numRef>
              <c:f>Лист4!$B$2:$B$7</c:f>
              <c:numCache>
                <c:formatCode>0%</c:formatCode>
                <c:ptCount val="6"/>
                <c:pt idx="0">
                  <c:v>0.44</c:v>
                </c:pt>
                <c:pt idx="1">
                  <c:v>0.16</c:v>
                </c:pt>
                <c:pt idx="2">
                  <c:v>0.11</c:v>
                </c:pt>
                <c:pt idx="3">
                  <c:v>0.08</c:v>
                </c:pt>
                <c:pt idx="4">
                  <c:v>0.05</c:v>
                </c:pt>
                <c:pt idx="5">
                  <c:v>0.16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Лист4!$C$2:$C$7</c15:f>
                <c15:dlblRangeCache>
                  <c:ptCount val="6"/>
                  <c:pt idx="0">
                    <c:v>$1899</c:v>
                  </c:pt>
                  <c:pt idx="1">
                    <c:v>$1454</c:v>
                  </c:pt>
                  <c:pt idx="2">
                    <c:v>$1673</c:v>
                  </c:pt>
                  <c:pt idx="3">
                    <c:v>$1438</c:v>
                  </c:pt>
                  <c:pt idx="4">
                    <c:v>$1584</c:v>
                  </c:pt>
                  <c:pt idx="5">
                    <c:v>$1626</c:v>
                  </c:pt>
                </c15:dlblRangeCache>
              </c15:datalabelsRange>
            </c:ext>
          </c:extLst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Середня заробітна плата в ІТ-секторі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Лист4!$A$2:$A$7</c:f>
              <c:strCache>
                <c:ptCount val="6"/>
                <c:pt idx="0">
                  <c:v>Київ</c:v>
                </c:pt>
                <c:pt idx="1">
                  <c:v>Харків</c:v>
                </c:pt>
                <c:pt idx="2">
                  <c:v>Львів</c:v>
                </c:pt>
                <c:pt idx="3">
                  <c:v>Дніпро </c:v>
                </c:pt>
                <c:pt idx="4">
                  <c:v>Одеса</c:v>
                </c:pt>
                <c:pt idx="5">
                  <c:v>Інші регіони </c:v>
                </c:pt>
              </c:strCache>
            </c:strRef>
          </c:cat>
          <c:val>
            <c:numRef>
              <c:f>Лист4!$C$2:$C$7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347457930156551"/>
          <c:y val="0.93202353447637587"/>
          <c:w val="0.74193182899117471"/>
          <c:h val="6.20186387116489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94EB-78D1-4E50-8BCB-8ACB0B82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178</cp:revision>
  <dcterms:created xsi:type="dcterms:W3CDTF">2017-12-26T10:51:00Z</dcterms:created>
  <dcterms:modified xsi:type="dcterms:W3CDTF">2017-12-28T18:34:00Z</dcterms:modified>
</cp:coreProperties>
</file>