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3F89">
        <w:rPr>
          <w:rFonts w:ascii="Times New Roman" w:hAnsi="Times New Roman" w:cs="Times New Roman"/>
          <w:b/>
          <w:sz w:val="28"/>
          <w:szCs w:val="28"/>
          <w:lang w:val="uk-UA"/>
        </w:rPr>
        <w:t>СІБРУК Анастасія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інститут 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(м. Київ, Україна)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3F89">
        <w:rPr>
          <w:rFonts w:ascii="Times New Roman" w:hAnsi="Times New Roman" w:cs="Times New Roman"/>
          <w:b/>
          <w:sz w:val="28"/>
          <w:szCs w:val="28"/>
          <w:lang w:val="uk-UA"/>
        </w:rPr>
        <w:t>ДОБРОВОЛЬСЬКА Людмила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інститут 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283F89" w:rsidRDefault="00283F89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(м. Київ, Україна)</w:t>
      </w:r>
    </w:p>
    <w:p w:rsidR="00914DAB" w:rsidRDefault="00914DAB" w:rsidP="00914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3F89" w:rsidRPr="00914DAB" w:rsidRDefault="00914DAB" w:rsidP="004F0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AB">
        <w:rPr>
          <w:rFonts w:ascii="Times New Roman" w:hAnsi="Times New Roman" w:cs="Times New Roman"/>
          <w:b/>
          <w:sz w:val="28"/>
          <w:szCs w:val="28"/>
          <w:lang w:val="uk-UA"/>
        </w:rPr>
        <w:t>ГРИВНА</w:t>
      </w:r>
      <w:r w:rsidR="00C80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9BB">
        <w:rPr>
          <w:rFonts w:ascii="Times New Roman" w:hAnsi="Times New Roman" w:cs="Times New Roman"/>
          <w:b/>
          <w:sz w:val="28"/>
          <w:szCs w:val="28"/>
        </w:rPr>
        <w:t>АБО ГРИВНЯ</w:t>
      </w:r>
      <w:r w:rsidR="00C809BB">
        <w:rPr>
          <w:rFonts w:ascii="Times New Roman" w:hAnsi="Times New Roman" w:cs="Times New Roman"/>
          <w:b/>
          <w:sz w:val="28"/>
          <w:szCs w:val="28"/>
          <w:lang w:val="uk-UA"/>
        </w:rPr>
        <w:t>: ІСТОРИЧНИЙ АСПЕКТ</w:t>
      </w:r>
    </w:p>
    <w:p w:rsidR="006710AD" w:rsidRPr="00920CDE" w:rsidRDefault="007676C6" w:rsidP="00914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Питання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лексичного складу мови тісно пов’язане із вивченням семантичної структури лексем. 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>У процесі історичного розвитку слова лексичне значення зазнає певних змін. З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’ясування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цих змін дослідники справедливо вважають найскладнішим пит</w:t>
      </w:r>
      <w:r w:rsidR="001E2C1C"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анням історичної лексикології. Оскільки </w:t>
      </w:r>
      <w:proofErr w:type="spellStart"/>
      <w:r w:rsidR="001E2C1C"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оясн</w:t>
      </w:r>
      <w:r w:rsidR="001E2C1C"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="001F0C51" w:rsidRPr="001F0C51">
        <w:rPr>
          <w:rFonts w:ascii="Times New Roman" w:hAnsi="Times New Roman" w:cs="Times New Roman"/>
          <w:bCs/>
          <w:sz w:val="28"/>
          <w:szCs w:val="28"/>
        </w:rPr>
        <w:t>е</w:t>
      </w:r>
      <w:proofErr w:type="spellStart"/>
      <w:r w:rsidR="001E2C1C"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proofErr w:type="spellEnd"/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значення </w:t>
      </w:r>
      <w:proofErr w:type="spellStart"/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>рівносильно</w:t>
      </w:r>
      <w:proofErr w:type="spellEnd"/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встановленню етимології нового слова, формально ідентичного старому, тобто ми маємо відстежити весь процес, у результаті якого нове</w:t>
      </w:r>
      <w:r w:rsidR="001E2C1C"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слово було первісно створене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одним і тим самим словом може бути закріплене не одне, а декілька взаємопов’язаних та певним чином відмежо</w:t>
      </w:r>
      <w:r w:rsidR="00250855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ваних одне від одного значень</w:t>
      </w:r>
      <w:r w:rsidR="00914DA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03" w:rsidRPr="00920C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2C1C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метою розкриття семантичної ст</w:t>
      </w:r>
      <w:r w:rsidR="00427403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руктури слова в історичному аспекті ми обрали </w:t>
      </w:r>
      <w:r w:rsidR="00C809BB">
        <w:rPr>
          <w:rFonts w:ascii="Times New Roman" w:hAnsi="Times New Roman" w:cs="Times New Roman"/>
          <w:sz w:val="28"/>
          <w:szCs w:val="28"/>
          <w:lang w:val="uk-UA"/>
        </w:rPr>
        <w:t xml:space="preserve">давнє </w:t>
      </w:r>
      <w:r w:rsidR="00427403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proofErr w:type="spellStart"/>
      <w:r w:rsidR="00427403" w:rsidRPr="007F29DC">
        <w:rPr>
          <w:rFonts w:ascii="Times New Roman" w:hAnsi="Times New Roman" w:cs="Times New Roman"/>
          <w:i/>
          <w:sz w:val="28"/>
          <w:szCs w:val="28"/>
          <w:lang w:val="uk-UA"/>
        </w:rPr>
        <w:t>грив</w:t>
      </w:r>
      <w:r w:rsidR="007F29DC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="00427403" w:rsidRPr="007F29DC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  <w:r w:rsidR="00427403" w:rsidRPr="00920CDE">
        <w:rPr>
          <w:rFonts w:ascii="Times New Roman" w:hAnsi="Times New Roman" w:cs="Times New Roman"/>
          <w:sz w:val="28"/>
          <w:szCs w:val="28"/>
          <w:lang w:val="uk-UA"/>
        </w:rPr>
        <w:t>, які збереглося в сучасній українській мові та виокремлюється своєю багатогранністю</w:t>
      </w:r>
      <w:r w:rsidR="007F29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7403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великою кількістю вживань у різноманітних текстах різних періодів української літератури.</w:t>
      </w:r>
    </w:p>
    <w:p w:rsidR="004E41E9" w:rsidRPr="00920CDE" w:rsidRDefault="004E41E9" w:rsidP="004F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Стсл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„намисто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браслет”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зводиться до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grivьna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grivьnь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jь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яке є похідним суфіксальним утворенням (із суфіксом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-ьп-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) від іменника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griva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„довге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волосся на шиї і хребті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тварин”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„частина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шиї,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потилиця”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Внутрішню форму іменника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визначає назва частини тіла – шиї.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Потрібно враховувати співвіднесеність контексту та значення лексеми. Слово закріплене за контекстом в одному зі своїх значень; у той же час ситуативний контекст існував як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готове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кліше – своїм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змістом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своєю цільовою спрямованістю він уже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визначав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семантику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тієї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іншої лексеми. 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Таким чином, причини семантичної стабільності лексики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полягають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традиційному</w:t>
      </w:r>
      <w:r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використанні контексту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багаторазово зафіксоване пам’ятками ХІ–ХІV ст. У матеріалах СДРЯ ХІ–ХІV ст. зафіксовані 593 уживання лексеми з такими значеннями, як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„шийний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обруч, що слугує прикрасою або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відзнакою”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„шийна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колодка”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„вагова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або грошова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[CДРЯ, ІІ: 387].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Вихідна семантика лексеми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в досліджуваний період насамперед значенням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„шийний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обруч, що слугує прикрасою або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відзнакою”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. Текстовий та словниковий матеріал вказують, що з ХІ до ХІV ст. досліджуване слово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з цією ядерною семантикою знайдене в таких різножанрових пам’ятках, як літописи, Ізборник 1076 року,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„Історія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іудейської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війни”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Флавія Полонського,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„Слово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про закон та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благодать”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Іларіона,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„Шестиднів”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Іоана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екзарха болгарського,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„Грамота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духовна в. кн. Івана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Калити”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„Сказання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про Бориса та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Гліба”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та ін.: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„б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бо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възложилъ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гривну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злату велику.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неи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предъ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нимъ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стояше”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[*1015,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ЛНик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, 71]. У текстах іменник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в поєднанні з прикметником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золотыи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ця шийна прикраса  виготовлялася з дорогоцінного металу, переважно із золота, а тому становила цінність не тільки символічну, а й матеріальну [</w:t>
      </w:r>
      <w:r w:rsidR="00E96FBE" w:rsidRPr="00920C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25]. Зафіксоване в пам’ятках XI–XIV ст. значення досліджуваного іменника підтверджують описи археологічних знахідок: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„Серед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скарбів ІХ–ХІV ст. знайдені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гривни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які за формою та способом виробництва можна поділити на чотири типи: сплетені з тонкого дроту, пластинчасті, виті суцільні, виті з кількох пар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дротів”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825C0" w:rsidRPr="00920C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с.25]. 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Контекст засвідчує, що в Київській Русі побутували також золоті гривни, оздоблені перлами: „и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гривноу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зл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(т)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аую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възложи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на (н)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же(н)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чюг</w:t>
      </w:r>
      <w:r w:rsidRPr="007F29DC">
        <w:rPr>
          <w:rFonts w:ascii="Izhitsa" w:hAnsi="Izhitsa" w:cs="Times New Roman"/>
          <w:sz w:val="28"/>
          <w:szCs w:val="28"/>
          <w:lang w:val="uk-UA"/>
        </w:rPr>
        <w:t>w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(м)” [*1289, ЛГВ-1,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cт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927]. Пам’ятки містять відомості про те, що під час страти було прийнято знімати гривну із шиї засудженого: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„б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бо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възложи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злату […] не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могуще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сняти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вборз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кънуша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главу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тако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сняша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гривну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ту”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[*1015, ПВЛ, 178];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„не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могуше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сн</w:t>
      </w:r>
      <w:proofErr w:type="spellEnd"/>
      <w:r w:rsidRPr="007F29DC">
        <w:rPr>
          <w:rFonts w:ascii="Izhitsa" w:hAnsi="Izhitsa" w:cs="Times New Roman"/>
          <w:sz w:val="28"/>
          <w:szCs w:val="28"/>
          <w:lang w:val="uk-UA"/>
        </w:rPr>
        <w:t>#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F29DC">
        <w:rPr>
          <w:rFonts w:ascii="Izhitsa" w:hAnsi="Izhitsa" w:cs="Times New Roman"/>
          <w:sz w:val="28"/>
          <w:szCs w:val="28"/>
          <w:lang w:val="uk-UA"/>
        </w:rPr>
        <w:t>^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кше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главу”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[ХІV,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СкБГ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арк.127]. Уживання досліджуваного іменника на позначення оздоби ікони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ревербероване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 Галицько-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Волинському літописі: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„иконоу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(ж) списа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золот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нам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стноую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с(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ъв</w:t>
      </w:r>
      <w:proofErr w:type="spellEnd"/>
      <w:r w:rsidRPr="007F29DC">
        <w:rPr>
          <w:rFonts w:ascii="Izhitsa" w:hAnsi="Izhitsa" w:cs="Times New Roman"/>
          <w:sz w:val="28"/>
          <w:szCs w:val="28"/>
          <w:lang w:val="uk-UA"/>
        </w:rPr>
        <w:t>#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)т(о)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Георгїа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гривноу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зл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(т)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аую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възложи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на(н)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же(н)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чюг</w:t>
      </w:r>
      <w:r w:rsidRPr="007F29DC">
        <w:rPr>
          <w:rFonts w:ascii="Izhitsa" w:hAnsi="Izhitsa" w:cs="Times New Roman"/>
          <w:sz w:val="28"/>
          <w:szCs w:val="28"/>
          <w:lang w:val="uk-UA"/>
        </w:rPr>
        <w:t>w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(м)” [*1289, ЛГВ-1, ст.927]. Єдине вживання іменника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 периферійним значенням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„шийна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колодка”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містить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слов’яноруський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переклад з грецької мови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„Хроніки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Георгія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Амартола”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: „и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тако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непослоушливымъ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приносити п(р)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рчьстви</w:t>
      </w:r>
      <w:r w:rsidRPr="007F29DC">
        <w:rPr>
          <w:rFonts w:ascii="Izhitsa" w:hAnsi="Izhitsa" w:cs="Times New Roman"/>
          <w:sz w:val="28"/>
          <w:szCs w:val="28"/>
          <w:lang w:val="uk-UA"/>
        </w:rPr>
        <w:t>~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иногда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7F29DC">
        <w:rPr>
          <w:rFonts w:ascii="Izhitsa" w:hAnsi="Izhitsa" w:cs="Times New Roman"/>
          <w:sz w:val="28"/>
          <w:szCs w:val="28"/>
          <w:lang w:val="uk-UA"/>
        </w:rPr>
        <w:t>#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жел</w:t>
      </w:r>
      <w:r w:rsidRPr="007F29DC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зны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техъ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възложи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выю”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[ХІ, ГА, арк.259 г].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У результаті переосмислення значення досліджуваний іменник починає уживатися на позначення грошової одиниці, що засвідчують пам’ятки ХІ–ХІV ст. Дослідники дійшли висновку, що етимологія лексеми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пов’язана зі словом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грива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а це дає підстави стверджувати, що саме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„шийний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обруч”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є первинним значенням цієї лексеми, і лише згодом виникає похідне значення –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„Етимологічному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словнику української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мови”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цей процес передано так: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„первісне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значення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„намисто”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доповнилося в окремих мовах значенням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звичаю робити намисто з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монет”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[ЕСУМ, І: 593]. За свідченням археолога Г. Ф. 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Корзухіної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„гривна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мала форму шийної прикраси з великими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медальйонами”</w:t>
      </w:r>
      <w:proofErr w:type="spellEnd"/>
      <w:r w:rsidR="004825C0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825C0" w:rsidRPr="00920C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, с.56].</w:t>
      </w:r>
    </w:p>
    <w:p w:rsidR="003E1951" w:rsidRPr="00920CDE" w:rsidRDefault="004E41E9" w:rsidP="004F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Серед скарбів часів Київської Русі археологи часто знаходять і монетні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гривні,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і шийні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гривни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Зі значеннями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„міра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ваги”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найменування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зафіксоване в таких різножанрових текстах ХІ–ХІV ст., як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Никонівський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літопис,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„Житіє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Феодосія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Печерського”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„Києво-Печерський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патерик”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„Руська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правда”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грамоти: „И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начаша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збирати дань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отъ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мужа по 4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куны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старостъ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 10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гривенъ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отъ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бояръ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 18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гривенъ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[*1018,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ЛНик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76]; „и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положивъ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же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стълп</w:t>
      </w:r>
      <w:r w:rsidRPr="00047E2A">
        <w:rPr>
          <w:rFonts w:ascii="Izhitsa" w:hAnsi="Izhitsa" w:cs="Times New Roman"/>
          <w:sz w:val="28"/>
          <w:szCs w:val="28"/>
          <w:lang w:val="uk-UA"/>
        </w:rPr>
        <w:t>h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злата”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[ХІ, ЖФП-1, 394];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„вдажь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100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гривенъ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злата”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[ХІІ, КПП, 304];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„Аже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холопъ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7E2A">
        <w:rPr>
          <w:rFonts w:ascii="Izhitsa" w:hAnsi="Izhitsa" w:cs="Times New Roman"/>
          <w:sz w:val="28"/>
          <w:szCs w:val="28"/>
          <w:lang w:val="uk-UA"/>
        </w:rPr>
        <w:t>w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47E2A">
        <w:rPr>
          <w:rFonts w:ascii="Izhitsa" w:hAnsi="Izhitsa" w:cs="Times New Roman"/>
          <w:sz w:val="28"/>
          <w:szCs w:val="28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льныи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выведеть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конь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чии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любо. то платити за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(в) </w:t>
      </w:r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г(р)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вн</w:t>
      </w:r>
      <w:r w:rsidRPr="00047E2A">
        <w:rPr>
          <w:rFonts w:ascii="Izhitsa" w:hAnsi="Izhitsa" w:cs="Times New Roman"/>
          <w:i/>
          <w:sz w:val="28"/>
          <w:szCs w:val="28"/>
          <w:u w:val="single"/>
          <w:lang w:val="uk-UA"/>
        </w:rPr>
        <w:t>h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[*1280,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РПр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624 а]. На позначення грошової одиниці іменник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знайдений у багатьох грамотах ХІ</w:t>
      </w:r>
      <w:r w:rsidRPr="00920C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0335" w:rsidRPr="0092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35" w:rsidRPr="00920CD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Зі значенням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одиниця, міра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ваги”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зафіксований демінутив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гривьнъка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 договірній грамоті 1389 року: „А (с)ну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моему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047E2A">
        <w:rPr>
          <w:rFonts w:ascii="Izhitsa" w:hAnsi="Izhitsa" w:cs="Times New Roman"/>
          <w:sz w:val="28"/>
          <w:szCs w:val="28"/>
          <w:lang w:val="uk-UA"/>
        </w:rPr>
        <w:t>#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зю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lastRenderedPageBreak/>
        <w:t>ивану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047E2A">
        <w:rPr>
          <w:rFonts w:ascii="Izhitsa" w:hAnsi="Izhitsa" w:cs="Times New Roman"/>
          <w:sz w:val="28"/>
          <w:szCs w:val="28"/>
          <w:lang w:val="uk-UA"/>
        </w:rPr>
        <w:t>"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золо(т)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татаоуръ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два ковша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золоты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Pr="00047E2A">
        <w:rPr>
          <w:rFonts w:ascii="Izhitsa" w:hAnsi="Izhitsa" w:cs="Times New Roman"/>
          <w:sz w:val="28"/>
          <w:szCs w:val="28"/>
          <w:lang w:val="uk-UA"/>
        </w:rPr>
        <w:t>h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гривенки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[ХІV, ДДГ, 7]. </w:t>
      </w:r>
      <w:r w:rsidR="0091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Іменник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є полісемічним. У писемних пам’ятках ХІ–ХІV ст. найменування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вжите з такими ядерними значеннями, як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„шийна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прикраса”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„Словнику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староукраїнської мови ХІV–ХV 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ст.”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зафіксоване єдине значення досліджуваного іменника –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[ССуМ, І: 262]. Упродовж ХV–XVII ст. слово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знайдене в російській мові з такими значеннями: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„металева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прикраса (або відзнака), яку носили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шиї”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„вагова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або грошова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„прикраса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ікони”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СлРЯ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ІV: 135–136]. В українській мові 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ХVI–XVII ст. лексема </w:t>
      </w:r>
      <w:r w:rsidRPr="00920CDE">
        <w:rPr>
          <w:rFonts w:ascii="Times New Roman" w:hAnsi="Times New Roman" w:cs="Times New Roman"/>
          <w:bCs/>
          <w:i/>
          <w:sz w:val="28"/>
          <w:szCs w:val="28"/>
          <w:lang w:val="uk-UA"/>
        </w:rPr>
        <w:t>гривна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вжита зі значеннями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одиниця”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„одиниця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ваги”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„прикраса”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[СУМ </w:t>
      </w:r>
      <w:r w:rsidRPr="00920CDE">
        <w:rPr>
          <w:rFonts w:ascii="Times New Roman" w:hAnsi="Times New Roman" w:cs="Times New Roman"/>
          <w:bCs/>
          <w:sz w:val="28"/>
          <w:szCs w:val="28"/>
          <w:lang w:val="uk-UA"/>
        </w:rPr>
        <w:t>ХVI–XVII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VІІ: 85]. У другій половині ХІХ ст. лексема </w:t>
      </w:r>
      <w:r w:rsidRPr="00920CDE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гривна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позначала багато речей, серед яких варто виділити такі: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„стар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різновид медальйона, ладанки, образка, мідного, срібного, золотого, зазвичай стулкового, який носили на ланцюжку,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шиї”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„орден”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„жалувані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гривни”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„велика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срібна монета, ймовірно, що її також носили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шиї”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„підвіска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до образів,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приклáд”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[Даль, І: 651]. В українській мові початку ХХ ст. іменник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грúвня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позначав мідну монету вартістю три копійки [Гр., І: 325]. </w:t>
      </w:r>
      <w:r w:rsidR="00047E2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ексема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виявилася стійкою</w:t>
      </w:r>
      <w:r w:rsidR="00047E2A">
        <w:rPr>
          <w:rFonts w:ascii="Times New Roman" w:hAnsi="Times New Roman" w:cs="Times New Roman"/>
          <w:sz w:val="28"/>
          <w:szCs w:val="28"/>
          <w:lang w:val="uk-UA"/>
        </w:rPr>
        <w:t xml:space="preserve"> до змін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Історія цього слова на землях слов’ян є неоднаковою: у слов’янських мовах досліджуване найменування стало нормативною назвою як прикраси, так і грошової одиниці, але не в кожній із них вони виступають разом як упродовж віків, так і на сьогодні. У сучасній українській мові давнє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породило дві фонетично близькі, але різні з погляду семантики лексеми: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гривна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„металева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прикраса у вигляді обруча, яку носили 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шиї”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[СУМ, ІІ: 166] і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гривня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„у Стародавній Русі – срібний злиток вагою близько фунта, який служив основною грошовою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одиницею”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„мідна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монета в три, а в деяких місцях – у дві з половиною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копійки”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„гривеник”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[СУМ, ІІ: 166];</w:t>
      </w:r>
      <w:r w:rsidRPr="0092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з 1996 року 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гривня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„грошова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одиниця незалежної України, що дорівнює 100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копійкам”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російській лексикографії її фіксують лише у формі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гривна,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а значення пов’язують з давніми часами: „У Стародавній Русі – злиток срібла, що виконував функцію грошової або вагової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одиниці”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„металева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прикраса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(відзнака), яку носили на шиї або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грудях”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„дрібна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срібна або золота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підвіска”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[ССРЛЯ, ІІІ: 399–400]. </w:t>
      </w:r>
    </w:p>
    <w:p w:rsidR="00427403" w:rsidRPr="00BF6CFA" w:rsidRDefault="001307DC" w:rsidP="00BF6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0C1229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</w:t>
      </w:r>
      <w:r w:rsidR="000C1229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представляє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собою </w:t>
      </w:r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досить розвинену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лексему</w:t>
      </w:r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характеризується активністю вживання, багатством семантичної наповненості, </w:t>
      </w:r>
      <w:proofErr w:type="spellStart"/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>поліфункціональністю</w:t>
      </w:r>
      <w:proofErr w:type="spellEnd"/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структурною різноманітністю. Досліджуване </w:t>
      </w:r>
      <w:r w:rsidR="000C1229">
        <w:rPr>
          <w:rFonts w:ascii="Times New Roman" w:hAnsi="Times New Roman" w:cs="Times New Roman"/>
          <w:sz w:val="28"/>
          <w:szCs w:val="28"/>
          <w:lang w:val="uk-UA"/>
        </w:rPr>
        <w:t>найменування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має складну структуру та давні витоки.  Давнє </w:t>
      </w:r>
      <w:proofErr w:type="spellStart"/>
      <w:r w:rsidRPr="00920CDE">
        <w:rPr>
          <w:rFonts w:ascii="Times New Roman" w:hAnsi="Times New Roman" w:cs="Times New Roman"/>
          <w:i/>
          <w:sz w:val="28"/>
          <w:szCs w:val="28"/>
          <w:lang w:val="uk-UA"/>
        </w:rPr>
        <w:t>гривьна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розвинулося у багатьох сучасних слов'янських мовах</w:t>
      </w:r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Аналізуючи 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0C1229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діахронії, доцільно враховувати те, що </w:t>
      </w:r>
      <w:r w:rsidR="005D094E" w:rsidRPr="00920CDE">
        <w:rPr>
          <w:rFonts w:ascii="Times New Roman" w:hAnsi="Times New Roman" w:cs="Times New Roman"/>
          <w:sz w:val="28"/>
          <w:szCs w:val="28"/>
          <w:lang w:val="uk-UA"/>
        </w:rPr>
        <w:t>зміни відбулися і в</w:t>
      </w:r>
      <w:r w:rsidR="00283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94E" w:rsidRPr="00920CDE">
        <w:rPr>
          <w:rFonts w:ascii="Times New Roman" w:hAnsi="Times New Roman" w:cs="Times New Roman"/>
          <w:sz w:val="28"/>
          <w:szCs w:val="28"/>
          <w:lang w:val="uk-UA"/>
        </w:rPr>
        <w:t>лексичному, і в семантичному контексті.</w:t>
      </w:r>
      <w:r w:rsidRPr="00920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094E" w:rsidRPr="00920C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27403"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ля розкриття семантичного наповнення іменник</w:t>
      </w:r>
      <w:r w:rsidR="005D094E" w:rsidRPr="00920CD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427403"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доцільним є поєднання синхронії та діахронії</w:t>
      </w:r>
      <w:r w:rsidR="005D094E" w:rsidRPr="00920CDE">
        <w:rPr>
          <w:rFonts w:ascii="Times New Roman" w:hAnsi="Times New Roman" w:cs="Times New Roman"/>
          <w:bCs/>
          <w:sz w:val="28"/>
          <w:szCs w:val="28"/>
          <w:lang w:val="uk-UA"/>
        </w:rPr>
        <w:t>. Також</w:t>
      </w:r>
      <w:r w:rsidR="00427403" w:rsidRPr="00920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094E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427403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 опису семантики слова </w:t>
      </w:r>
      <w:proofErr w:type="spellStart"/>
      <w:r w:rsidR="005D094E" w:rsidRPr="00920CD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гривьна</w:t>
      </w:r>
      <w:proofErr w:type="spellEnd"/>
      <w:r w:rsidR="005D094E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7403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важливими є питання виділення лексико-семантичних варіантів, відтінків значення та </w:t>
      </w:r>
      <w:r w:rsidR="00427403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</w:t>
      </w:r>
      <w:r w:rsidR="00427403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семного членування. Вивчення семантики пов’язане з питанням про значення контексту, оскільки семантичне наповнення </w:t>
      </w:r>
      <w:r w:rsidR="000C1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лексеми</w:t>
      </w:r>
      <w:r w:rsidR="00427403" w:rsidRPr="00920C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виявляється лише в контексті.</w:t>
      </w:r>
    </w:p>
    <w:p w:rsidR="00594819" w:rsidRPr="00920CDE" w:rsidRDefault="00594819" w:rsidP="004F07AB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543B" w:rsidRPr="00920CDE" w:rsidRDefault="0068543B" w:rsidP="00920CDE">
      <w:pPr>
        <w:tabs>
          <w:tab w:val="left" w:pos="9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B04C2D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1. Киселева М. С.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Учение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книжное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: текст и контекст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древнерусской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книжности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/ Марина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Сергеевна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Киселева. – М. 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Индрик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, 2000. – 256 с.</w:t>
      </w:r>
    </w:p>
    <w:p w:rsidR="00B04C2D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20CDE">
        <w:rPr>
          <w:rFonts w:ascii="Times New Roman" w:hAnsi="Times New Roman" w:cs="Times New Roman"/>
          <w:sz w:val="28"/>
          <w:szCs w:val="28"/>
        </w:rPr>
        <w:t>Корзухи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на Г. Ф.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Русские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клады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20CDE">
        <w:rPr>
          <w:rFonts w:ascii="Times New Roman" w:hAnsi="Times New Roman" w:cs="Times New Roman"/>
          <w:sz w:val="28"/>
          <w:szCs w:val="28"/>
        </w:rPr>
        <w:t>–</w:t>
      </w:r>
      <w:r w:rsidRPr="00920CD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20CDE">
        <w:rPr>
          <w:rFonts w:ascii="Times New Roman" w:hAnsi="Times New Roman" w:cs="Times New Roman"/>
          <w:sz w:val="28"/>
          <w:szCs w:val="28"/>
        </w:rPr>
        <w:t xml:space="preserve"> вв. / Г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аля</w:t>
      </w:r>
      <w:proofErr w:type="spellEnd"/>
      <w:r w:rsidRPr="00920CDE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едоровна</w:t>
      </w:r>
      <w:proofErr w:type="spellEnd"/>
      <w:r w:rsidRPr="0092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</w:rPr>
        <w:t>Корзухина</w:t>
      </w:r>
      <w:proofErr w:type="spellEnd"/>
      <w:r w:rsidRPr="00920CDE">
        <w:rPr>
          <w:rFonts w:ascii="Times New Roman" w:hAnsi="Times New Roman" w:cs="Times New Roman"/>
          <w:sz w:val="28"/>
          <w:szCs w:val="28"/>
        </w:rPr>
        <w:t>. – М.–Л. : АН СССР, 1954. – С. 1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20CDE">
        <w:rPr>
          <w:rFonts w:ascii="Times New Roman" w:hAnsi="Times New Roman" w:cs="Times New Roman"/>
          <w:sz w:val="28"/>
          <w:szCs w:val="28"/>
        </w:rPr>
        <w:t xml:space="preserve">76. </w:t>
      </w:r>
    </w:p>
    <w:p w:rsidR="00B04C2D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Покровский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М. М.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Избранн</w:t>
      </w:r>
      <w:r w:rsidRPr="00920CD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20CDE">
        <w:rPr>
          <w:rFonts w:ascii="Times New Roman" w:hAnsi="Times New Roman" w:cs="Times New Roman"/>
          <w:sz w:val="28"/>
          <w:szCs w:val="28"/>
        </w:rPr>
        <w:t xml:space="preserve"> труды по языкознанию / Михаил Михайлович Покровский. – М.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CDE">
        <w:rPr>
          <w:rFonts w:ascii="Times New Roman" w:hAnsi="Times New Roman" w:cs="Times New Roman"/>
          <w:sz w:val="28"/>
          <w:szCs w:val="28"/>
        </w:rPr>
        <w:t>: Изд-во АН СССР, 1959. – 384 с.</w:t>
      </w:r>
    </w:p>
    <w:p w:rsidR="00B04C2D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Пушкарева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Н. Л.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Древней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Руси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Наталья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Львовна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Пушкарева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, 1989. – 286 с.</w:t>
      </w:r>
    </w:p>
    <w:p w:rsidR="00B04C2D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20CDE">
        <w:rPr>
          <w:rFonts w:ascii="Times New Roman" w:hAnsi="Times New Roman" w:cs="Times New Roman"/>
          <w:sz w:val="28"/>
          <w:szCs w:val="28"/>
        </w:rPr>
        <w:t>Уфимцева А.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20CDE">
        <w:rPr>
          <w:rFonts w:ascii="Times New Roman" w:hAnsi="Times New Roman" w:cs="Times New Roman"/>
          <w:sz w:val="28"/>
          <w:szCs w:val="28"/>
        </w:rPr>
        <w:t>А. Лексическое значение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/ Анна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Анфилофьевна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Уфимцева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Pr="00920CDE">
        <w:rPr>
          <w:rFonts w:ascii="Times New Roman" w:hAnsi="Times New Roman" w:cs="Times New Roman"/>
          <w:sz w:val="28"/>
          <w:szCs w:val="28"/>
        </w:rPr>
        <w:t>[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ред. Ю. С. 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]. – М. : Наука, 1986. – 240 с. </w:t>
      </w:r>
    </w:p>
    <w:p w:rsidR="00B04C2D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Филин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Ф. П.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лексикология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Проспект / Федот Петрович 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Филин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; [ред. В.</w:t>
      </w:r>
      <w:r w:rsidRPr="007F29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0CDE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7F29D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20CDE">
        <w:rPr>
          <w:rFonts w:ascii="Times New Roman" w:hAnsi="Times New Roman" w:cs="Times New Roman"/>
          <w:sz w:val="28"/>
          <w:szCs w:val="28"/>
          <w:lang w:val="uk-UA"/>
        </w:rPr>
        <w:t>Дерягин</w:t>
      </w:r>
      <w:proofErr w:type="spellEnd"/>
      <w:r w:rsidRPr="00920CDE">
        <w:rPr>
          <w:rFonts w:ascii="Times New Roman" w:hAnsi="Times New Roman" w:cs="Times New Roman"/>
          <w:sz w:val="28"/>
          <w:szCs w:val="28"/>
          <w:lang w:val="uk-UA"/>
        </w:rPr>
        <w:t>]. – М. : Наука, 1984. – 175 с.</w:t>
      </w:r>
    </w:p>
    <w:p w:rsidR="0068543B" w:rsidRPr="00920CDE" w:rsidRDefault="00B04C2D" w:rsidP="00920CD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Murphy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Semantic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lexicon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Lynne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Murphy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 xml:space="preserve">, 2003. – 278 </w:t>
      </w:r>
      <w:r w:rsidR="0068543B" w:rsidRPr="00920C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8543B" w:rsidRPr="00920C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2F0" w:rsidRPr="00920CDE" w:rsidRDefault="007B22F0" w:rsidP="00920C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22F0" w:rsidRPr="00920CDE" w:rsidSect="004A2A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35" w:rsidRDefault="00BC7F35" w:rsidP="00BC7F35">
      <w:pPr>
        <w:spacing w:after="0" w:line="240" w:lineRule="auto"/>
      </w:pPr>
      <w:r>
        <w:separator/>
      </w:r>
    </w:p>
  </w:endnote>
  <w:endnote w:type="continuationSeparator" w:id="1">
    <w:p w:rsidR="00BC7F35" w:rsidRDefault="00BC7F35" w:rsidP="00B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10"/>
      <w:docPartObj>
        <w:docPartGallery w:val="Page Numbers (Bottom of Page)"/>
        <w:docPartUnique/>
      </w:docPartObj>
    </w:sdtPr>
    <w:sdtContent>
      <w:p w:rsidR="00BC7F35" w:rsidRDefault="0014725A">
        <w:pPr>
          <w:pStyle w:val="a5"/>
          <w:jc w:val="right"/>
        </w:pPr>
        <w:fldSimple w:instr=" PAGE   \* MERGEFORMAT ">
          <w:r w:rsidR="00107736">
            <w:rPr>
              <w:noProof/>
            </w:rPr>
            <w:t>1</w:t>
          </w:r>
        </w:fldSimple>
      </w:p>
    </w:sdtContent>
  </w:sdt>
  <w:p w:rsidR="00BC7F35" w:rsidRDefault="00BC7F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35" w:rsidRDefault="00BC7F35" w:rsidP="00BC7F35">
      <w:pPr>
        <w:spacing w:after="0" w:line="240" w:lineRule="auto"/>
      </w:pPr>
      <w:r>
        <w:separator/>
      </w:r>
    </w:p>
  </w:footnote>
  <w:footnote w:type="continuationSeparator" w:id="1">
    <w:p w:rsidR="00BC7F35" w:rsidRDefault="00BC7F35" w:rsidP="00B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E2D4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671860"/>
    <w:multiLevelType w:val="hybridMultilevel"/>
    <w:tmpl w:val="B92A03C2"/>
    <w:lvl w:ilvl="0" w:tplc="939A26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719718A"/>
    <w:multiLevelType w:val="hybridMultilevel"/>
    <w:tmpl w:val="1E0A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278F"/>
    <w:multiLevelType w:val="multilevel"/>
    <w:tmpl w:val="F768076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47EE5"/>
    <w:multiLevelType w:val="hybridMultilevel"/>
    <w:tmpl w:val="F8A0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55A62"/>
    <w:multiLevelType w:val="hybridMultilevel"/>
    <w:tmpl w:val="5B60DA8C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33DB4"/>
    <w:multiLevelType w:val="hybridMultilevel"/>
    <w:tmpl w:val="F7680768"/>
    <w:lvl w:ilvl="0" w:tplc="81ECA3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23037"/>
    <w:multiLevelType w:val="hybridMultilevel"/>
    <w:tmpl w:val="CF8EF1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6C49C0"/>
    <w:multiLevelType w:val="hybridMultilevel"/>
    <w:tmpl w:val="D3E8E79C"/>
    <w:lvl w:ilvl="0" w:tplc="EB4A29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98375A"/>
    <w:multiLevelType w:val="hybridMultilevel"/>
    <w:tmpl w:val="2FE242FC"/>
    <w:lvl w:ilvl="0" w:tplc="18C6CBC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6C6"/>
    <w:rsid w:val="00047E2A"/>
    <w:rsid w:val="000903C9"/>
    <w:rsid w:val="000C1229"/>
    <w:rsid w:val="00107736"/>
    <w:rsid w:val="001307DC"/>
    <w:rsid w:val="0014725A"/>
    <w:rsid w:val="001E2C1C"/>
    <w:rsid w:val="001F0AE9"/>
    <w:rsid w:val="001F0C51"/>
    <w:rsid w:val="00242C41"/>
    <w:rsid w:val="00245CDB"/>
    <w:rsid w:val="00250855"/>
    <w:rsid w:val="00254DE3"/>
    <w:rsid w:val="00283F89"/>
    <w:rsid w:val="00391F63"/>
    <w:rsid w:val="003E1951"/>
    <w:rsid w:val="00427403"/>
    <w:rsid w:val="004825C0"/>
    <w:rsid w:val="004976EC"/>
    <w:rsid w:val="004A2A03"/>
    <w:rsid w:val="004E41E9"/>
    <w:rsid w:val="004F07AB"/>
    <w:rsid w:val="00594819"/>
    <w:rsid w:val="005D094E"/>
    <w:rsid w:val="0062257F"/>
    <w:rsid w:val="006710AD"/>
    <w:rsid w:val="0068543B"/>
    <w:rsid w:val="00700335"/>
    <w:rsid w:val="007676C6"/>
    <w:rsid w:val="007B22F0"/>
    <w:rsid w:val="007D6198"/>
    <w:rsid w:val="007F29DC"/>
    <w:rsid w:val="008379F4"/>
    <w:rsid w:val="00914DAB"/>
    <w:rsid w:val="00920CDE"/>
    <w:rsid w:val="00A40A84"/>
    <w:rsid w:val="00AB3B15"/>
    <w:rsid w:val="00B04C2D"/>
    <w:rsid w:val="00B41014"/>
    <w:rsid w:val="00BC7F35"/>
    <w:rsid w:val="00BF6CFA"/>
    <w:rsid w:val="00C809BB"/>
    <w:rsid w:val="00E96FBE"/>
    <w:rsid w:val="00EF196E"/>
    <w:rsid w:val="00EF1A7A"/>
    <w:rsid w:val="00F32948"/>
    <w:rsid w:val="00F56DC1"/>
    <w:rsid w:val="00F62AC2"/>
    <w:rsid w:val="00FB0F1E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03"/>
  </w:style>
  <w:style w:type="paragraph" w:styleId="1">
    <w:name w:val="heading 1"/>
    <w:basedOn w:val="a"/>
    <w:next w:val="a"/>
    <w:link w:val="10"/>
    <w:qFormat/>
    <w:rsid w:val="0076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676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76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76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76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76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7676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76C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676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76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676C6"/>
    <w:rPr>
      <w:rFonts w:ascii="Times New Roman" w:eastAsia="Times New Roman" w:hAnsi="Times New Roman" w:cs="Times New Roman"/>
      <w:b/>
      <w:bCs/>
    </w:rPr>
  </w:style>
  <w:style w:type="paragraph" w:styleId="a3">
    <w:name w:val="Body Text"/>
    <w:aliases w:val="Body Text Char"/>
    <w:basedOn w:val="a"/>
    <w:link w:val="a4"/>
    <w:rsid w:val="007676C6"/>
    <w:pPr>
      <w:spacing w:after="0" w:line="360" w:lineRule="auto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Основной текст Знак"/>
    <w:aliases w:val="Body Text Char Знак"/>
    <w:basedOn w:val="a0"/>
    <w:link w:val="a3"/>
    <w:rsid w:val="007676C6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footer"/>
    <w:basedOn w:val="a"/>
    <w:link w:val="a6"/>
    <w:uiPriority w:val="99"/>
    <w:rsid w:val="007676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676C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676C6"/>
  </w:style>
  <w:style w:type="paragraph" w:styleId="a8">
    <w:name w:val="header"/>
    <w:basedOn w:val="a"/>
    <w:link w:val="a9"/>
    <w:rsid w:val="007676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676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Bullet"/>
    <w:basedOn w:val="a"/>
    <w:autoRedefine/>
    <w:rsid w:val="007676C6"/>
    <w:pPr>
      <w:tabs>
        <w:tab w:val="num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Hyperlink"/>
    <w:basedOn w:val="a0"/>
    <w:rsid w:val="007676C6"/>
    <w:rPr>
      <w:color w:val="0000FF"/>
      <w:u w:val="single"/>
    </w:rPr>
  </w:style>
  <w:style w:type="paragraph" w:styleId="22">
    <w:name w:val="List 2"/>
    <w:basedOn w:val="a"/>
    <w:rsid w:val="007676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7676C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rsid w:val="007676C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Continue 2"/>
    <w:basedOn w:val="a"/>
    <w:rsid w:val="007676C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676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676C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rsid w:val="007676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676C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7676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7676C6"/>
    <w:rPr>
      <w:rFonts w:ascii="Arial" w:eastAsia="Times New Roman" w:hAnsi="Arial" w:cs="Arial"/>
      <w:sz w:val="24"/>
      <w:szCs w:val="24"/>
    </w:rPr>
  </w:style>
  <w:style w:type="paragraph" w:styleId="af2">
    <w:name w:val="Normal Indent"/>
    <w:basedOn w:val="a"/>
    <w:rsid w:val="007676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7676C6"/>
    <w:rPr>
      <w:b/>
      <w:bCs/>
    </w:rPr>
  </w:style>
  <w:style w:type="paragraph" w:styleId="32">
    <w:name w:val="List Continue 3"/>
    <w:basedOn w:val="a"/>
    <w:rsid w:val="007676C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Знак"/>
    <w:basedOn w:val="a0"/>
    <w:rsid w:val="007676C6"/>
    <w:rPr>
      <w:sz w:val="28"/>
      <w:szCs w:val="32"/>
      <w:lang w:val="uk-UA"/>
    </w:rPr>
  </w:style>
  <w:style w:type="paragraph" w:styleId="af5">
    <w:name w:val="footnote text"/>
    <w:basedOn w:val="a"/>
    <w:link w:val="af6"/>
    <w:semiHidden/>
    <w:rsid w:val="007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7676C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767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3545-5753-4A25-8F24-DB6F9B26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39</cp:revision>
  <cp:lastPrinted>2017-09-25T06:21:00Z</cp:lastPrinted>
  <dcterms:created xsi:type="dcterms:W3CDTF">2017-09-24T15:12:00Z</dcterms:created>
  <dcterms:modified xsi:type="dcterms:W3CDTF">2017-11-29T10:59:00Z</dcterms:modified>
</cp:coreProperties>
</file>