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64" w:rsidRPr="00604464" w:rsidRDefault="00604464" w:rsidP="00604464">
      <w:pPr>
        <w:jc w:val="center"/>
        <w:rPr>
          <w:sz w:val="28"/>
          <w:szCs w:val="28"/>
          <w:lang w:val="en-US"/>
        </w:rPr>
      </w:pPr>
      <w:r w:rsidRPr="00604464">
        <w:rPr>
          <w:sz w:val="28"/>
          <w:szCs w:val="28"/>
          <w:lang w:val="en-US"/>
        </w:rPr>
        <w:t>AIR CARRIER’S LIABILITY FOR THE DELAY IN DELIVERY</w:t>
      </w:r>
    </w:p>
    <w:p w:rsidR="00604464" w:rsidRPr="00604464" w:rsidRDefault="00604464" w:rsidP="00604464">
      <w:pPr>
        <w:jc w:val="right"/>
        <w:rPr>
          <w:sz w:val="28"/>
          <w:szCs w:val="28"/>
          <w:lang w:val="en-US"/>
        </w:rPr>
      </w:pPr>
      <w:proofErr w:type="spellStart"/>
      <w:r w:rsidRPr="00604464">
        <w:rPr>
          <w:sz w:val="28"/>
          <w:szCs w:val="28"/>
          <w:lang w:val="en-US"/>
        </w:rPr>
        <w:t>Kibalnik</w:t>
      </w:r>
      <w:proofErr w:type="spellEnd"/>
      <w:r w:rsidRPr="00604464">
        <w:rPr>
          <w:sz w:val="28"/>
          <w:szCs w:val="28"/>
          <w:lang w:val="en-US"/>
        </w:rPr>
        <w:t xml:space="preserve"> </w:t>
      </w:r>
      <w:proofErr w:type="spellStart"/>
      <w:r w:rsidRPr="00604464">
        <w:rPr>
          <w:sz w:val="28"/>
          <w:szCs w:val="28"/>
          <w:lang w:val="en-US"/>
        </w:rPr>
        <w:t>Ya</w:t>
      </w:r>
      <w:proofErr w:type="spellEnd"/>
      <w:r w:rsidRPr="00604464">
        <w:rPr>
          <w:sz w:val="28"/>
          <w:szCs w:val="28"/>
          <w:lang w:val="en-US"/>
        </w:rPr>
        <w:t>.</w:t>
      </w:r>
    </w:p>
    <w:p w:rsidR="00604464" w:rsidRPr="00604464" w:rsidRDefault="00604464" w:rsidP="00604464">
      <w:pPr>
        <w:jc w:val="right"/>
        <w:rPr>
          <w:sz w:val="28"/>
          <w:szCs w:val="28"/>
          <w:lang w:val="en-US"/>
        </w:rPr>
      </w:pPr>
      <w:r w:rsidRPr="00604464">
        <w:rPr>
          <w:sz w:val="28"/>
          <w:szCs w:val="28"/>
          <w:lang w:val="en-US"/>
        </w:rPr>
        <w:t>National Aviation University, Kyiv</w:t>
      </w:r>
    </w:p>
    <w:p w:rsidR="00604464" w:rsidRPr="00604464" w:rsidRDefault="00604464" w:rsidP="00604464">
      <w:pPr>
        <w:jc w:val="right"/>
        <w:rPr>
          <w:sz w:val="28"/>
          <w:szCs w:val="28"/>
          <w:lang w:val="en-US"/>
        </w:rPr>
      </w:pPr>
      <w:r w:rsidRPr="00604464">
        <w:rPr>
          <w:sz w:val="28"/>
          <w:szCs w:val="28"/>
          <w:lang w:val="en-US"/>
        </w:rPr>
        <w:t xml:space="preserve">Scientific Advisor – </w:t>
      </w:r>
      <w:proofErr w:type="spellStart"/>
      <w:r w:rsidRPr="00604464">
        <w:rPr>
          <w:sz w:val="28"/>
          <w:szCs w:val="28"/>
          <w:lang w:val="en-US"/>
        </w:rPr>
        <w:t>Valeriia</w:t>
      </w:r>
      <w:proofErr w:type="spellEnd"/>
      <w:r w:rsidRPr="00604464">
        <w:rPr>
          <w:sz w:val="28"/>
          <w:szCs w:val="28"/>
          <w:lang w:val="en-US"/>
        </w:rPr>
        <w:t xml:space="preserve"> </w:t>
      </w:r>
      <w:proofErr w:type="spellStart"/>
      <w:r w:rsidRPr="00604464">
        <w:rPr>
          <w:sz w:val="28"/>
          <w:szCs w:val="28"/>
          <w:lang w:val="en-US"/>
        </w:rPr>
        <w:t>Filinovych</w:t>
      </w:r>
      <w:proofErr w:type="spellEnd"/>
      <w:r w:rsidRPr="00604464">
        <w:rPr>
          <w:sz w:val="28"/>
          <w:szCs w:val="28"/>
          <w:lang w:val="en-US"/>
        </w:rPr>
        <w:t>, PhD in Law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t>The increasing number of air transportations in the world transport system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raises the issue of carrier's liability in case of delayed delivery of cargo within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stipulated time. It is also interesting that the legislation in the field of air transportation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is invariable, however in practical court cases, lawyers are faced with the problems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determining jurisdiction and determining what rules are applicable: rules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international law or rules of national law.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t>The purpose of this study is to review the current state of legal regulation of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issue of carrier’s liability for the delayed delivery of cargo, as well as to refer to real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court cases to understand the issues and aspects encountered by the practice.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464">
        <w:rPr>
          <w:rFonts w:ascii="Times New Roman" w:hAnsi="Times New Roman" w:cs="Times New Roman"/>
          <w:sz w:val="28"/>
          <w:szCs w:val="28"/>
          <w:lang w:val="en-US"/>
        </w:rPr>
        <w:t>Taking into account</w:t>
      </w:r>
      <w:proofErr w:type="gramEnd"/>
      <w:r w:rsidRPr="00604464">
        <w:rPr>
          <w:rFonts w:ascii="Times New Roman" w:hAnsi="Times New Roman" w:cs="Times New Roman"/>
          <w:sz w:val="28"/>
          <w:szCs w:val="28"/>
          <w:lang w:val="en-US"/>
        </w:rPr>
        <w:t xml:space="preserve"> the goal of the study, the general scientific and special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methods aimed at the research of legal phenomena were selected and used by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author. Thus, a formal-dogmatic method was used in the research. It provided 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opportunity to identify the most important features of the legal regulation of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liability of the air carrier for delayed delivery of cargo. The use of the historical-legal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method has allowed us to study the genesis of legal regulation under national and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international legislation.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t xml:space="preserve">The conclusions were made </w:t>
      </w:r>
      <w:proofErr w:type="gramStart"/>
      <w:r w:rsidRPr="00604464">
        <w:rPr>
          <w:rFonts w:ascii="Times New Roman" w:hAnsi="Times New Roman" w:cs="Times New Roman"/>
          <w:sz w:val="28"/>
          <w:szCs w:val="28"/>
          <w:lang w:val="en-US"/>
        </w:rPr>
        <w:t>on the basis of</w:t>
      </w:r>
      <w:proofErr w:type="gramEnd"/>
      <w:r w:rsidRPr="00604464">
        <w:rPr>
          <w:rFonts w:ascii="Times New Roman" w:hAnsi="Times New Roman" w:cs="Times New Roman"/>
          <w:sz w:val="28"/>
          <w:szCs w:val="28"/>
          <w:lang w:val="en-US"/>
        </w:rPr>
        <w:t xml:space="preserve"> the analysis of scientific positions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and views, as well as the approaches of domestic and foreign scientists using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comparative legal method. Case law review was carried out by applying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techniques of formal logic, with the help of synthesis, analysis, generalization, and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analogy methods.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4464">
        <w:rPr>
          <w:rFonts w:ascii="Times New Roman" w:hAnsi="Times New Roman" w:cs="Times New Roman"/>
          <w:sz w:val="28"/>
          <w:szCs w:val="28"/>
          <w:lang w:val="en-US"/>
        </w:rPr>
        <w:t>POLIT.Challenges</w:t>
      </w:r>
      <w:proofErr w:type="spellEnd"/>
      <w:r w:rsidRPr="00604464">
        <w:rPr>
          <w:rFonts w:ascii="Times New Roman" w:hAnsi="Times New Roman" w:cs="Times New Roman"/>
          <w:sz w:val="28"/>
          <w:szCs w:val="28"/>
          <w:lang w:val="en-US"/>
        </w:rPr>
        <w:t xml:space="preserve"> of science today, 1-3 April 2020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t>An important result of the Second International Conference on private air law</w:t>
      </w:r>
    </w:p>
    <w:p w:rsidR="00604464" w:rsidRPr="00604464" w:rsidRDefault="00604464" w:rsidP="0060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lastRenderedPageBreak/>
        <w:t>in Warsaw was the adoption and signing of the Convention for the unification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certain rules of international air carriage (hereinafter referred to as the Warsaw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convention).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t>However, different interpretations of the provisions of the Warsaw convention</w:t>
      </w:r>
    </w:p>
    <w:p w:rsidR="00604464" w:rsidRPr="00604464" w:rsidRDefault="00604464" w:rsidP="0060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t>have led to conflicting approaches to civil liability. Thus, some scholars argue that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liability of the carrier is contractual, while others, in turn, consider the liability to be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non-contractual (tort). There are also opinions of scholars who define such liability as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a special type of non-contractual liability, which results in non-performance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contractual obligations [3].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t>In addition, in 1999, the Montreal Convention was adopted by the international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 xml:space="preserve">community. Thus, according to the provisions of this convention, it </w:t>
      </w:r>
      <w:proofErr w:type="gramStart"/>
      <w:r w:rsidRPr="00604464">
        <w:rPr>
          <w:rFonts w:ascii="Times New Roman" w:hAnsi="Times New Roman" w:cs="Times New Roman"/>
          <w:sz w:val="28"/>
          <w:szCs w:val="28"/>
          <w:lang w:val="en-US"/>
        </w:rPr>
        <w:t>is considered to be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the supreme legal force in comparison with the provisions and norms of the Warsaw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system, if the country of the carrier and the recipient of services are participants and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signatories of this Convention. Nowadays, more than 135 countries, including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Ukraine, are participants of the Montreal Convention. Therefore, it can be argued that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it is precisely the Montreal Convention that applies to the settlement of international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air traffic disputes. The use of both conventions at the same time seems impossible [2,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p. 24-26].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t>However, the Ukrainian courts do not consider the Warsaw or Montreal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conventions as the basis for settling a dispute. On the contrary, as the analysis of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jurisprudence shows, the judges consider that the standards of national carriage rules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prevail over any other legislation. Thus, in the text of court decisions there are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provisions according to which the standards of the rules should be used to such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controversial legal relations [1].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t>According to the information given above, we can see that judges in Ukraine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still use the soviet approach, which is based on the fact that the standards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international law play an additional role, the application of the provisions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international law is possible only in the case when they do not contradict the domestic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 xml:space="preserve">law. As a </w:t>
      </w:r>
      <w:proofErr w:type="gramStart"/>
      <w:r w:rsidRPr="00604464">
        <w:rPr>
          <w:rFonts w:ascii="Times New Roman" w:hAnsi="Times New Roman" w:cs="Times New Roman"/>
          <w:sz w:val="28"/>
          <w:szCs w:val="28"/>
          <w:lang w:val="en-US"/>
        </w:rPr>
        <w:t>result</w:t>
      </w:r>
      <w:proofErr w:type="gramEnd"/>
      <w:r w:rsidRPr="00604464">
        <w:rPr>
          <w:rFonts w:ascii="Times New Roman" w:hAnsi="Times New Roman" w:cs="Times New Roman"/>
          <w:sz w:val="28"/>
          <w:szCs w:val="28"/>
          <w:lang w:val="en-US"/>
        </w:rPr>
        <w:t xml:space="preserve"> such approach ruins the achievements of Ukraine's ratification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international agreements and the application of convention norms.</w:t>
      </w:r>
    </w:p>
    <w:p w:rsidR="00604464" w:rsidRPr="00604464" w:rsidRDefault="00604464" w:rsidP="0060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lastRenderedPageBreak/>
        <w:t>In our opinion, an international agreement, ratified by its members stipulates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the obligation of each party to comply with its rules. Replacement of an international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agreement by a national act, even if it establishes the same regulation as 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  <w:lang w:val="en-US"/>
        </w:rPr>
        <w:t>international one, is considered inadmissible.</w:t>
      </w:r>
    </w:p>
    <w:p w:rsidR="00604464" w:rsidRPr="00604464" w:rsidRDefault="00604464" w:rsidP="006044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4464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>:</w:t>
      </w:r>
    </w:p>
    <w:p w:rsidR="00604464" w:rsidRPr="00604464" w:rsidRDefault="00604464" w:rsidP="00604464">
      <w:pPr>
        <w:jc w:val="both"/>
        <w:rPr>
          <w:rFonts w:ascii="Times New Roman" w:hAnsi="Times New Roman" w:cs="Times New Roman"/>
          <w:sz w:val="28"/>
          <w:szCs w:val="28"/>
        </w:rPr>
      </w:pPr>
      <w:r w:rsidRPr="00604464">
        <w:rPr>
          <w:rFonts w:ascii="Times New Roman" w:hAnsi="Times New Roman" w:cs="Times New Roman"/>
          <w:sz w:val="28"/>
          <w:szCs w:val="28"/>
        </w:rPr>
        <w:t xml:space="preserve">1. Бугай М.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перевізника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перевезеннях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>.</w:t>
      </w:r>
    </w:p>
    <w:p w:rsidR="00604464" w:rsidRPr="00604464" w:rsidRDefault="00604464" w:rsidP="006044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464">
        <w:rPr>
          <w:rFonts w:ascii="Times New Roman" w:hAnsi="Times New Roman" w:cs="Times New Roman"/>
          <w:sz w:val="28"/>
          <w:szCs w:val="28"/>
          <w:lang w:val="en-US"/>
        </w:rPr>
        <w:t>URL: https://yur-gazeta.com/dumka-eksperta/mezhi-vidpovidalnosti-pereviznika-primizhnarodnih-perevezennyah.html</w:t>
      </w:r>
    </w:p>
    <w:p w:rsidR="00604464" w:rsidRPr="00604464" w:rsidRDefault="00604464" w:rsidP="00604464">
      <w:pPr>
        <w:jc w:val="both"/>
        <w:rPr>
          <w:rFonts w:ascii="Times New Roman" w:hAnsi="Times New Roman" w:cs="Times New Roman"/>
          <w:sz w:val="28"/>
          <w:szCs w:val="28"/>
        </w:rPr>
      </w:pPr>
      <w:r w:rsidRPr="0060446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Козачок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І. Я.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перевізника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Повітряне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космічне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право.2013. №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64">
        <w:rPr>
          <w:rFonts w:ascii="Times New Roman" w:hAnsi="Times New Roman" w:cs="Times New Roman"/>
          <w:sz w:val="28"/>
          <w:szCs w:val="28"/>
        </w:rPr>
        <w:t>С. 24-28.</w:t>
      </w:r>
    </w:p>
    <w:p w:rsidR="00604464" w:rsidRPr="00604464" w:rsidRDefault="00604464" w:rsidP="00604464">
      <w:pPr>
        <w:jc w:val="both"/>
        <w:rPr>
          <w:rFonts w:ascii="Times New Roman" w:hAnsi="Times New Roman" w:cs="Times New Roman"/>
          <w:sz w:val="28"/>
          <w:szCs w:val="28"/>
        </w:rPr>
      </w:pPr>
      <w:r w:rsidRPr="0060446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Цірат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Перевізні</w:t>
      </w:r>
      <w:proofErr w:type="spellEnd"/>
      <w:r w:rsidRPr="006044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4464">
        <w:rPr>
          <w:rFonts w:ascii="Times New Roman" w:hAnsi="Times New Roman" w:cs="Times New Roman"/>
          <w:sz w:val="28"/>
          <w:szCs w:val="28"/>
        </w:rPr>
        <w:t>суперечки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Pr="00604464">
        <w:rPr>
          <w:rFonts w:ascii="Times New Roman" w:hAnsi="Times New Roman" w:cs="Times New Roman"/>
          <w:sz w:val="28"/>
          <w:szCs w:val="28"/>
        </w:rPr>
        <w:t xml:space="preserve"> URL: https://yurgazeta.com/publications/practice/mizhnarodne-pravo-investiciyi/perevizni-superechki.html</w:t>
      </w:r>
    </w:p>
    <w:sectPr w:rsidR="00604464" w:rsidRPr="0060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64"/>
    <w:rsid w:val="006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5134"/>
  <w15:chartTrackingRefBased/>
  <w15:docId w15:val="{550EC6B9-FC35-417F-A49F-6F15EBC4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Kosuha</dc:creator>
  <cp:keywords/>
  <dc:description/>
  <cp:lastModifiedBy>Sergiy Kosuha</cp:lastModifiedBy>
  <cp:revision>1</cp:revision>
  <dcterms:created xsi:type="dcterms:W3CDTF">2020-06-30T06:51:00Z</dcterms:created>
  <dcterms:modified xsi:type="dcterms:W3CDTF">2020-06-30T06:57:00Z</dcterms:modified>
</cp:coreProperties>
</file>