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A0432D" w:rsidRDefault="004E241A" w:rsidP="004E241A">
      <w:pPr>
        <w:pStyle w:val="7"/>
        <w:keepNext w:val="0"/>
        <w:widowControl w:val="0"/>
        <w:numPr>
          <w:ilvl w:val="6"/>
          <w:numId w:val="3"/>
        </w:numPr>
        <w:spacing w:line="360" w:lineRule="auto"/>
        <w:ind w:left="0" w:right="-6" w:firstLine="0"/>
        <w:jc w:val="right"/>
        <w:rPr>
          <w:sz w:val="28"/>
          <w:szCs w:val="28"/>
        </w:rPr>
      </w:pPr>
      <w:r w:rsidRPr="00A0432D">
        <w:rPr>
          <w:sz w:val="28"/>
          <w:szCs w:val="28"/>
        </w:rPr>
        <w:t xml:space="preserve">УДК </w:t>
      </w:r>
      <w:r w:rsidR="00A0432D" w:rsidRPr="00A0432D">
        <w:rPr>
          <w:sz w:val="28"/>
          <w:szCs w:val="28"/>
        </w:rPr>
        <w:t>378.046.4</w:t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  <w:r w:rsidRPr="00A0432D">
        <w:rPr>
          <w:sz w:val="28"/>
          <w:szCs w:val="28"/>
        </w:rPr>
        <w:tab/>
      </w:r>
    </w:p>
    <w:p w:rsidR="004E241A" w:rsidRPr="00A0432D" w:rsidRDefault="004E241A" w:rsidP="004E241A">
      <w:pPr>
        <w:pStyle w:val="7"/>
        <w:keepNext w:val="0"/>
        <w:widowControl w:val="0"/>
        <w:numPr>
          <w:ilvl w:val="6"/>
          <w:numId w:val="3"/>
        </w:numPr>
        <w:spacing w:line="360" w:lineRule="auto"/>
        <w:ind w:left="0" w:right="-6" w:firstLine="426"/>
        <w:jc w:val="right"/>
        <w:rPr>
          <w:sz w:val="28"/>
          <w:szCs w:val="28"/>
        </w:rPr>
      </w:pPr>
      <w:proofErr w:type="spellStart"/>
      <w:r w:rsidRPr="00A0432D">
        <w:rPr>
          <w:sz w:val="28"/>
          <w:szCs w:val="28"/>
        </w:rPr>
        <w:t>Максютенко</w:t>
      </w:r>
      <w:proofErr w:type="spellEnd"/>
      <w:r w:rsidRPr="00A0432D">
        <w:rPr>
          <w:sz w:val="28"/>
          <w:szCs w:val="28"/>
        </w:rPr>
        <w:t xml:space="preserve"> Ірина, м. Київ</w:t>
      </w:r>
    </w:p>
    <w:p w:rsidR="004E241A" w:rsidRPr="00A0432D" w:rsidRDefault="004E241A" w:rsidP="004E241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2D">
        <w:rPr>
          <w:rFonts w:ascii="Times New Roman" w:hAnsi="Times New Roman" w:cs="Times New Roman"/>
          <w:b/>
          <w:sz w:val="28"/>
          <w:szCs w:val="28"/>
        </w:rPr>
        <w:t xml:space="preserve">МЕТОДИКА ВИКОНАННЯ СЛУХАЧАМИ ВИПУСКНИХ РОБІТ ПРИ ПІДВИЩЕННІ КВАЛІФІКАЦІЇ </w:t>
      </w:r>
    </w:p>
    <w:p w:rsidR="004E241A" w:rsidRPr="00A0432D" w:rsidRDefault="004E241A" w:rsidP="004E241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У статті розглядаються </w:t>
      </w:r>
      <w:r w:rsidR="00A0432D" w:rsidRPr="00A0432D">
        <w:rPr>
          <w:rFonts w:ascii="Times New Roman" w:hAnsi="Times New Roman" w:cs="Times New Roman"/>
          <w:i/>
          <w:iCs/>
          <w:sz w:val="28"/>
          <w:szCs w:val="28"/>
        </w:rPr>
        <w:t>питання виконання оцінки та впровадження результатів випускних робіт слухачів післядипломної освіти</w:t>
      </w:r>
      <w:r w:rsidRPr="00A0432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E241A" w:rsidRPr="00A0432D" w:rsidRDefault="004E241A" w:rsidP="004E241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0432D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A0432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0432D" w:rsidRPr="00A0432D">
        <w:rPr>
          <w:rFonts w:ascii="Times New Roman" w:hAnsi="Times New Roman" w:cs="Times New Roman"/>
          <w:i/>
          <w:sz w:val="28"/>
          <w:szCs w:val="28"/>
        </w:rPr>
        <w:t>випускна кваліфікаційна робота, критерії оцінювання, практична значимість, впровадження результатів дослідження, випускний проект</w:t>
      </w:r>
      <w:r w:rsidRPr="00A0432D">
        <w:rPr>
          <w:rFonts w:ascii="Times New Roman" w:hAnsi="Times New Roman" w:cs="Times New Roman"/>
          <w:sz w:val="28"/>
          <w:szCs w:val="28"/>
        </w:rPr>
        <w:t>.</w:t>
      </w:r>
    </w:p>
    <w:p w:rsidR="00A0432D" w:rsidRPr="00A0432D" w:rsidRDefault="00A0432D" w:rsidP="00A043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article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addresses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performance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evaluation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implementation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results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final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works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students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postgraduate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education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432D" w:rsidRPr="00A0432D" w:rsidRDefault="00A0432D" w:rsidP="00A043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0432D">
        <w:rPr>
          <w:rFonts w:ascii="Times New Roman" w:hAnsi="Times New Roman" w:cs="Times New Roman"/>
          <w:b/>
          <w:i/>
          <w:iCs/>
          <w:sz w:val="28"/>
          <w:szCs w:val="28"/>
        </w:rPr>
        <w:t>Keywords</w:t>
      </w:r>
      <w:proofErr w:type="spellEnd"/>
      <w:r w:rsidRPr="00A0432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graduation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qualification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work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evaluation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criteria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practical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relevance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implementation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research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results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graduation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32D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A0432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432D" w:rsidRPr="00A0432D" w:rsidRDefault="004E241A" w:rsidP="00A043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Система неперервної освіти передбачає органічний зв'язок процесів курсового навчання, методичної роботи у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міжкурсової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період та самоосвіти педагогічних і управлінських кадрів</w:t>
      </w:r>
      <w:r w:rsidR="00A0432D"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0432D" w:rsidRPr="00A0432D">
        <w:rPr>
          <w:rFonts w:ascii="Times New Roman" w:hAnsi="Times New Roman" w:cs="Times New Roman"/>
          <w:sz w:val="28"/>
          <w:szCs w:val="28"/>
        </w:rPr>
        <w:t>[1,2].</w:t>
      </w:r>
    </w:p>
    <w:p w:rsidR="004E241A" w:rsidRPr="00A0432D" w:rsidRDefault="004E241A" w:rsidP="004E24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Актуальною в діяльності методичних служб всіх рівнів є проблема наступності між курсовими і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міжкурсовими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етапами підвищення кваліфікації, визначення взаємозв’язку між цими процесами і підтримка їх на оптимальну рівні через встановлення тісних контрактів методичних служб з науковими кафедрами і відділами інституту післядипломного освіти, створення цілісної системи роботи щодо опанування педагогами знань, умінь і навичок самостійної, індивідуальної, самоосвітньої роботи.</w:t>
      </w:r>
    </w:p>
    <w:p w:rsidR="00A0432D" w:rsidRPr="00A0432D" w:rsidRDefault="004E241A" w:rsidP="00A043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Актуальні проблеми інформатизації українського суспільства і освіти, теоретичні дослідження по напрямах: філософія й історія дистанційної професійної освіти; педагогіко-психологічні проблеми дистанційної професійної освіти; інформаційно-телекомунікаційні технології і навчальне середовище дистанційної професійної освіти; соціально-економічні проблеми дистанційної освіти; організація дистанційної професійної освіти; нормативно-правові проблеми дистанційної професійної освіти – можуть 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базуватися на теоретико-методологічних роботах С.І. Архангельського, Н.К.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Бабанського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С.У.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Гончаренка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І.А.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Зязюна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Т.А. Ільїної, І.Я.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Лернера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ін.; роботах з дидактики А.Н.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Алексюка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Б.А. Голуба, В.А. Козакова, М.І.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Махмутова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Е.С.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Полата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В.В.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Сагарді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М.Н.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Скаткіна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М.Н.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Фіцули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А.В. Хуторського, та ін.; роботах з психології Г.А.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Балла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Л.С. Виготського, П.Я.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Гальперіна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Г.С. Костюка, A.M.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Матюшкіна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Н.А.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Побірченко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Н.Ф. Тализіної, Б.А.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Федоришина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інших вчених</w:t>
      </w:r>
      <w:r w:rsidR="00A0432D"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[4].</w:t>
      </w:r>
    </w:p>
    <w:p w:rsidR="004E241A" w:rsidRPr="00A0432D" w:rsidRDefault="004E241A" w:rsidP="004E241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A0432D">
        <w:rPr>
          <w:sz w:val="28"/>
        </w:rPr>
        <w:t xml:space="preserve">Інформаційною базою даного дослідження виступає нормативно-правове забезпечення </w:t>
      </w:r>
      <w:r w:rsidRPr="00A0432D">
        <w:rPr>
          <w:sz w:val="28"/>
          <w:szCs w:val="28"/>
        </w:rPr>
        <w:t>очно-дистанційного навчання, публікації наукового та педагогічного характеру з проблем забезпечення, організації  та проведення очно-дистанційного навчання.</w:t>
      </w:r>
    </w:p>
    <w:p w:rsidR="004E241A" w:rsidRPr="00A0432D" w:rsidRDefault="004E241A" w:rsidP="004E241A">
      <w:pPr>
        <w:pStyle w:val="a3"/>
        <w:spacing w:after="0" w:line="360" w:lineRule="auto"/>
        <w:ind w:firstLine="720"/>
        <w:jc w:val="both"/>
        <w:rPr>
          <w:sz w:val="28"/>
        </w:rPr>
      </w:pPr>
      <w:r w:rsidRPr="00A0432D">
        <w:rPr>
          <w:sz w:val="28"/>
        </w:rPr>
        <w:t>Незважаючи на типовість виконання випускних робіт навіть в системі підвищення кваліфікації необхідно зазначити  їх практичну цінність для суб’єктів дослідження, тобто слухачів неперервної освіти, а також можливість застосування отриманих результатів в процесі своєї подальшої діяльності.</w:t>
      </w:r>
    </w:p>
    <w:p w:rsidR="004E241A" w:rsidRPr="00A0432D" w:rsidRDefault="004E241A" w:rsidP="004E241A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A0432D">
        <w:rPr>
          <w:sz w:val="28"/>
        </w:rPr>
        <w:t>Метою дослідження є формування м</w:t>
      </w:r>
      <w:r w:rsidRPr="00A0432D">
        <w:rPr>
          <w:sz w:val="28"/>
          <w:szCs w:val="28"/>
        </w:rPr>
        <w:t>етодологічних аспектів виконання слухачами випускних робіт при підвищенні кваліфікації за очно-дистанційною формою навчання.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Курсове підвищення кваліфікації за різними формами і напрямами залучає практичних педагогів до наукової-дослідної, експериментальної роботи, сприймає формуванню практичних навичок наукової роботи, є стимулом самоосвіти, орієнтує педагогічні кадри на відбір певного змісту неформальної освіти. Самоосвіта, самостійна й індивідуальна робота суттєво доповнює знання, отримані слухачами на курсах, сприяють цілеспрямованому, системному підвищено рівня професійної компетентності педагогів.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Завдання методичної служби всіх рівнів — забезпечити організаційно-методичний супровід самостійної, індивідуальної, самоосвітньої діяльності учителя у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міжкурсовий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період, надати необхідну допомогу у розкритті змісту теми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післякурсової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докурсової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роботи, а також відстежувати хід їх 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виконання та результативність, заслуховувати узагальнений матеріал на нарадах, методичних об'єднаннях учителів, скласти відгук на виконане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післякурсове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завдання і тільки за такої умови відрядити вчителя на курси підвищення кваліфікації, кінцевим результатом яких повинно бути написання письмової індивідуальної творчої роботи відповідно до кваліфікаційної категорії педагога.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Діяльність методичної служби всіх рівнів необхідно спрямувати на системну, цілеспрямовану роботу з педагогами щодо опанування практичними вміннями і навичками самостійної, самоосвітньої роботи шляхом проведення семінарів-практикумів, наукових і методичних дискусій, відкритих захистів, круглих столів, майстер-класів з презентацією перед колегами творчих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наробок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районних, міських науково-практичних конференцій з залученням науковців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облІППО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ВНЗ створення на рівні кожного освітнього закладу, рай (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міськ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)методичних кабінетів інформаційного банку щодо тематики напрямів можливих прикладних досліджень педагогів. Необхідно стимулювати проведення міні-досліджень на шкільному рівні для апробації авторських програм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варітивної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складової, факультативів, спецкурсів, навчально-методичного забезпечення викладання навчальних дисциплін відповідно до умов і вимог проведення педагогічного експерименту. В такий спосіб набуває розвитку самоосвітня, науково-дослідна компетентність учителя і, як результат, зростає якість навчання, рівень успішності учнів, відбувається трансформація наукових ідей в освітню практику.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Результативність роботи щодо розвитку професійної компетентності педагогів багато в чому залежить від зміни самої філософії, методології методичної роботи педагогічних кадрів у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міжкурсовий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період і навчання на курсах підвищеної кваліфікації. Розуміння курсового етапу підвищення кваліфікації як логічного продовження діяльності щодо власного самовдосконалення спрямовує педагога на активну, творчу роботу під час курсів, задоволення освітніх потреб і запитів.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Для удосконалення ефективності самостійної, індивідуальною 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самоосвітньої роботи педагогів, виконання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післякурсових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докурсових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завдань, творчих проектів рекомендуємо взяти до уваги і керуватися в організації роботи з педагогічними кадрами такими вимогами до змісту, оформлення і оцінювання письмових робіт.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Таким чином, ф</w:t>
      </w:r>
      <w:r w:rsidRPr="00A04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ормування методичної цінності  випускних робіт при КПК може мати декілька аспектів.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Педагогічний проект</w:t>
      </w:r>
      <w:r w:rsidRPr="00A04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— реалізація педагогічної ідеї, технології, методики, що розроблена педагогом, впровадження в практичну діяльність кращого досвіду. Проект реалізується через:</w:t>
      </w:r>
    </w:p>
    <w:p w:rsidR="004E241A" w:rsidRPr="00A0432D" w:rsidRDefault="004E241A" w:rsidP="004E241A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вибір теми;</w:t>
      </w:r>
    </w:p>
    <w:p w:rsidR="004E241A" w:rsidRPr="00A0432D" w:rsidRDefault="004E241A" w:rsidP="004E241A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самостійну роботу над нею;</w:t>
      </w:r>
    </w:p>
    <w:p w:rsidR="004E241A" w:rsidRPr="00A0432D" w:rsidRDefault="004E241A" w:rsidP="004E241A">
      <w:pPr>
        <w:widowControl w:val="0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індивідуальне консультування з фахівцями за потребою слухача.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Проект</w:t>
      </w: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(у перекладі з латинської «кинутий вперед») означає план, задум організації, влаштування, заснування будь — чого, тобто прообраз якого-небудь об'єкта, виду діяльності тощо. Необхідно умовно розмежувати педагогічні проекти на такі, що здійснює вчитель у процесі власної професійної діяльності, та учнівські (навчально-виховні), що реалізуються школярами в навчально-пізнавальному процесі під керівництвом педагога.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 аспекті підвищення кваліфікації та удосконалення майстерності освітян мова йде про педагогічні проекти.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Метод проектів</w:t>
      </w: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орієнтований на самостійну діяльність слухачів — індивідуальну, групову, парну котру вони виконують протягом визначеного часу на курсах підвищення кваліфікації. Проективний метод вимагає рішення будь — якої проблеми на основі використання різних методів, інтегрування теоретичних знань, умінь, технологій, творчості.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Критеріальні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вимоги до створення проекту: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освітньої проблеми, складність та актуальність якої відповідає навчальним запитам, життєвим потребам, інтересам учасників проекту;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практична, теоретична, пізнавальна значущість прогнозованих результатів;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дослідницький характер пошуку шляхів розв'язання проблеми;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структурування діяльності відповідно до класичних стадій проектування;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умов для виявлення і розв'язання психолого-педагогічної проблеми (її постановки, дослідження, пошук шляхів розв'язування, експертизи та апробації версій, конструювання підсумкового проекту; його захист, оцінка та впровадження);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самодіяльний характер творчої активності;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активних й інтерактивних форм і методів;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«продуктивність» проекту: якщо це теоретична проблема, то конкретне її рішення, якщо практична — конкретний результат впровадження;</w:t>
      </w:r>
    </w:p>
    <w:p w:rsidR="004E241A" w:rsidRPr="00A0432D" w:rsidRDefault="004E241A" w:rsidP="004E241A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педагогічна цінність діяльності (знання, вміння, навички, моральні норми та цінності, світоглядні позиції тощо)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Робота над проектом передбачає, табл. 1:</w:t>
      </w:r>
    </w:p>
    <w:p w:rsidR="004E241A" w:rsidRPr="00A0432D" w:rsidRDefault="004E241A" w:rsidP="004E241A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чіткий план,</w:t>
      </w:r>
    </w:p>
    <w:p w:rsidR="004E241A" w:rsidRPr="00A0432D" w:rsidRDefault="004E241A" w:rsidP="004E241A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задуму, гіпотези,</w:t>
      </w:r>
    </w:p>
    <w:p w:rsidR="004E241A" w:rsidRPr="00A0432D" w:rsidRDefault="004E241A" w:rsidP="004E241A">
      <w:pPr>
        <w:widowControl w:val="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чіткий розподіл завдань кожного учасника групи за умови тісної взаємодії.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Технологія діяльності педагога зі створення проекту здійснюється за такими етапами: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 Назва проекту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Актуальність проблеми, наукове обґрунтування.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 Мета проекту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3авдання проекту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Етапи, термін реалізації проекту.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 Забезпечення проекту:</w:t>
      </w:r>
    </w:p>
    <w:p w:rsidR="00A0432D" w:rsidRPr="00A0432D" w:rsidRDefault="00A0432D" w:rsidP="00A0432D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науково-методичне;</w:t>
      </w:r>
    </w:p>
    <w:p w:rsidR="00A0432D" w:rsidRPr="00A0432D" w:rsidRDefault="00A0432D" w:rsidP="00A0432D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матеріально-технічне;</w:t>
      </w:r>
    </w:p>
    <w:p w:rsidR="00A0432D" w:rsidRPr="00A0432D" w:rsidRDefault="00A0432D" w:rsidP="00A0432D">
      <w:pPr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 оцінки очікуваних результатів.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7. Перелік основних заходів.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8. Очікуванні результати.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9. Система організації і контролю за ходом виконання.</w:t>
      </w:r>
    </w:p>
    <w:p w:rsidR="00A0432D" w:rsidRPr="00A0432D" w:rsidRDefault="00A0432D" w:rsidP="00A043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Опис проекту, його основних етапів, моделі є важливим чинником подальшої успішної діяльності.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E241A" w:rsidRPr="00A0432D" w:rsidRDefault="004E241A" w:rsidP="004E241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Таблиця 1- Основні етапи роботи над проектом</w:t>
      </w:r>
    </w:p>
    <w:tbl>
      <w:tblPr>
        <w:tblStyle w:val="a6"/>
        <w:tblW w:w="0" w:type="auto"/>
        <w:tblLook w:val="04A0"/>
      </w:tblPr>
      <w:tblGrid>
        <w:gridCol w:w="644"/>
        <w:gridCol w:w="1978"/>
        <w:gridCol w:w="2173"/>
        <w:gridCol w:w="4775"/>
      </w:tblGrid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A0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Зміст 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Етапи роботи над проектом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Діяльність 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Діагностико-прогностичний етап. 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теми, мети та завдань проекту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проблем шкільної освіти, власної професії діяльності; потреб, можливостей; оцінка дидактичних можливостей предмета, напряму діяльності за фахом, теми щодо застосування проектної технології, визначення головних проблем. Обговорення проблеми, пошук необхідної інформації, визначення мети і завдань.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моделювання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описово-структурної моделі(словесної, графічної або понятійного аналога) проекту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критеріїв ефективності проекту; розробка моніторингової системи функціонування моделі (як і яким чином контролюватиметься та оцінюватиметься діяльність учасників проекту на різних етапах) 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програми діяльності щодо реалізації проекту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плану в цілому та конкретних дій; вибір способів збору інформації, формі методів, формування уявлень про результати (форму звіту), розробка критерій оцінки результату і процес, розподілити завдань між членами групи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Збір інформації, 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аналіз, вибір стратегії і такими, робота з літературою, проведення експерименту, анкетування, робота з літературою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визначення ефективності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самої діяльності, так і кінцевого продукту, формулювання висновків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звіту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результату у формі: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звіту з демонстрацією матеріалів, письмового звіту. Колективне обговорення.</w:t>
            </w:r>
          </w:p>
        </w:tc>
      </w:tr>
      <w:tr w:rsidR="004E241A" w:rsidRPr="00A0432D" w:rsidTr="0033691F">
        <w:tc>
          <w:tcPr>
            <w:tcW w:w="675" w:type="dxa"/>
          </w:tcPr>
          <w:p w:rsidR="004E241A" w:rsidRPr="00A0432D" w:rsidRDefault="004E241A" w:rsidP="004E241A">
            <w:pPr>
              <w:pStyle w:val="a7"/>
              <w:widowControl w:val="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38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результатів і процесу</w:t>
            </w:r>
          </w:p>
        </w:tc>
        <w:tc>
          <w:tcPr>
            <w:tcW w:w="2215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Колективне обговорення</w:t>
            </w:r>
          </w:p>
        </w:tc>
        <w:tc>
          <w:tcPr>
            <w:tcW w:w="5493" w:type="dxa"/>
          </w:tcPr>
          <w:p w:rsidR="004E241A" w:rsidRPr="00A0432D" w:rsidRDefault="004E241A" w:rsidP="004E241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3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Самооцінка результатів за встановленими критеріями.</w:t>
            </w:r>
          </w:p>
        </w:tc>
      </w:tr>
    </w:tbl>
    <w:p w:rsidR="004E241A" w:rsidRPr="00A0432D" w:rsidRDefault="004E241A" w:rsidP="004E241A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7621" w:rsidRPr="00A0432D" w:rsidRDefault="00B27621" w:rsidP="00B276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Таким чином, можна відзначити, що головне завдання індивідуальних і </w:t>
      </w: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групових письмових робіт — не наукове відкриття, а процес наукового пошуку, дослідження проблеми, перевірка отриманих результатів, формування вмінь і навичок аналітичного, творчого мислення, самостійного дослідження. У системі підвищення кваліфікації результати самостійної, індивідуальної, самоосвітньої роботи можуть представлені у різних формах науково-методичного викладу матеріалів.</w:t>
      </w:r>
    </w:p>
    <w:p w:rsidR="004E241A" w:rsidRPr="00A0432D" w:rsidRDefault="00B27621" w:rsidP="00B276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Керівництво самостійною роботою слухачів здійснюється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тьютором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На етапі розгортання системи дистанційного підвищення кваліфікації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тьюторами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виступати викладачі кафедр університету, що забезпечують підготовку слухачів за основним змістом відповідного навчального блоку. Персональний склад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тьюторів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обговорюється на засіданнях кафедр та затверджується наказом ректора. За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тьютором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закріплюються не більш як 10-15 слухачів, або одна навчальна група. Для встановлення норм навчального навантаження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тьютори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керуються такими даними: організаційна робота (керівництво групою); консультації, контроль, комунікативна діяльність – за фактично витрачений час (аудиторне навантаження). Основним змістом роботи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є участь у прийомі та оформленні слухачів на дистанційне підвищення кваліфікації, надання допомоги слухачам у складанні індивідуальних планів, проведення консультацій і надання методичної допомоги, організація рецензування атестаційних робіт, контроль за ходом самостійної роботи слухачів, організація та проведення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тьюторіалів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тощо. Основним документом, що відбиває роботу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тьютора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(планування, організаційна робота, консультування тощо), є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“Журнал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тьютора”</w:t>
      </w:r>
      <w:proofErr w:type="spellEnd"/>
      <w:r w:rsidRPr="00A04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форма та структура якого розробляється навчальними закладами післядипломної педагогічної освіти.</w:t>
      </w:r>
    </w:p>
    <w:p w:rsidR="004E241A" w:rsidRPr="00A0432D" w:rsidRDefault="00A0432D" w:rsidP="00A0432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0432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B27621" w:rsidRPr="00A0432D" w:rsidRDefault="00B27621" w:rsidP="00B27621">
      <w:pPr>
        <w:numPr>
          <w:ilvl w:val="0"/>
          <w:numId w:val="12"/>
        </w:numPr>
        <w:tabs>
          <w:tab w:val="clear" w:pos="750"/>
          <w:tab w:val="num" w:pos="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2D">
        <w:rPr>
          <w:rFonts w:ascii="Times New Roman" w:hAnsi="Times New Roman" w:cs="Times New Roman"/>
          <w:bCs/>
          <w:sz w:val="28"/>
          <w:szCs w:val="28"/>
        </w:rPr>
        <w:t>Закон України «Про вищу освіту» № 1556-18, редакція від 16.04.2017</w:t>
      </w:r>
    </w:p>
    <w:p w:rsidR="00B27621" w:rsidRPr="00A0432D" w:rsidRDefault="00B27621" w:rsidP="00B27621">
      <w:pPr>
        <w:numPr>
          <w:ilvl w:val="0"/>
          <w:numId w:val="12"/>
        </w:numPr>
        <w:tabs>
          <w:tab w:val="clear" w:pos="750"/>
          <w:tab w:val="num" w:pos="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2D">
        <w:rPr>
          <w:rFonts w:ascii="Times New Roman" w:hAnsi="Times New Roman" w:cs="Times New Roman"/>
          <w:bCs/>
          <w:sz w:val="28"/>
          <w:szCs w:val="28"/>
        </w:rPr>
        <w:t>Постанова КМУ № 567 від 27.07.2016 року «Деякі питання діяльності Національного агентства із забезпечення якості вищої освіти»</w:t>
      </w:r>
    </w:p>
    <w:p w:rsidR="00B27621" w:rsidRPr="00A0432D" w:rsidRDefault="00B27621" w:rsidP="00B27621">
      <w:pPr>
        <w:numPr>
          <w:ilvl w:val="0"/>
          <w:numId w:val="12"/>
        </w:numPr>
        <w:tabs>
          <w:tab w:val="clear" w:pos="750"/>
          <w:tab w:val="num" w:pos="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2D">
        <w:rPr>
          <w:rFonts w:ascii="Times New Roman" w:hAnsi="Times New Roman" w:cs="Times New Roman"/>
          <w:bCs/>
          <w:sz w:val="28"/>
          <w:szCs w:val="28"/>
        </w:rPr>
        <w:t>Наказ МОН № 600 від 01.06.16 року «Про затвердження та введення в дію Методичних рекомендацій щодо розроблення стандартів вищої освіти»</w:t>
      </w:r>
    </w:p>
    <w:p w:rsidR="00B27621" w:rsidRPr="00A0432D" w:rsidRDefault="00B27621" w:rsidP="00B27621">
      <w:pPr>
        <w:numPr>
          <w:ilvl w:val="0"/>
          <w:numId w:val="12"/>
        </w:numPr>
        <w:tabs>
          <w:tab w:val="clear" w:pos="750"/>
          <w:tab w:val="num" w:pos="0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043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Розробка </w:t>
      </w:r>
      <w:proofErr w:type="spellStart"/>
      <w:r w:rsidRPr="00A0432D">
        <w:rPr>
          <w:rFonts w:ascii="Times New Roman" w:hAnsi="Times New Roman" w:cs="Times New Roman"/>
          <w:bCs/>
          <w:sz w:val="28"/>
          <w:szCs w:val="28"/>
        </w:rPr>
        <w:t>акметектонічної</w:t>
      </w:r>
      <w:proofErr w:type="spellEnd"/>
      <w:r w:rsidRPr="00A0432D">
        <w:rPr>
          <w:rFonts w:ascii="Times New Roman" w:hAnsi="Times New Roman" w:cs="Times New Roman"/>
          <w:bCs/>
          <w:sz w:val="28"/>
          <w:szCs w:val="28"/>
        </w:rPr>
        <w:t xml:space="preserve"> моделі моніторингу в системі післядипломної педагогічної освіти: теоретичний концепт [Електронний ресурс] / Л. В. </w:t>
      </w:r>
      <w:proofErr w:type="spellStart"/>
      <w:r w:rsidRPr="00A0432D">
        <w:rPr>
          <w:rFonts w:ascii="Times New Roman" w:hAnsi="Times New Roman" w:cs="Times New Roman"/>
          <w:bCs/>
          <w:sz w:val="28"/>
          <w:szCs w:val="28"/>
        </w:rPr>
        <w:t>Зазуліна</w:t>
      </w:r>
      <w:proofErr w:type="spellEnd"/>
      <w:r w:rsidRPr="00A0432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5" w:history="1">
        <w:r w:rsidRPr="00A0432D">
          <w:rPr>
            <w:rFonts w:ascii="Times New Roman" w:hAnsi="Times New Roman" w:cs="Times New Roman"/>
            <w:bCs/>
            <w:sz w:val="28"/>
            <w:szCs w:val="28"/>
          </w:rPr>
          <w:t>http://www.irbis-nbuv.gov.ua/cgi-bin/irbis_nbuv/cgiirbis_64.exe</w:t>
        </w:r>
      </w:hyperlink>
      <w:r w:rsidRPr="00A0432D">
        <w:rPr>
          <w:rFonts w:ascii="Times New Roman" w:hAnsi="Times New Roman" w:cs="Times New Roman"/>
          <w:sz w:val="28"/>
          <w:szCs w:val="28"/>
        </w:rPr>
        <w:t>.</w:t>
      </w:r>
    </w:p>
    <w:p w:rsidR="00B27621" w:rsidRPr="00A0432D" w:rsidRDefault="00B27621" w:rsidP="004E24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939B7" w:rsidRPr="00A0432D" w:rsidRDefault="002939B7"/>
    <w:sectPr w:rsidR="002939B7" w:rsidRPr="00A0432D" w:rsidSect="004E241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D62EF"/>
    <w:multiLevelType w:val="multilevel"/>
    <w:tmpl w:val="738EA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769E"/>
    <w:multiLevelType w:val="hybridMultilevel"/>
    <w:tmpl w:val="BAA0FF56"/>
    <w:lvl w:ilvl="0" w:tplc="6B30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A63"/>
    <w:multiLevelType w:val="multilevel"/>
    <w:tmpl w:val="3140D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20D9B"/>
    <w:multiLevelType w:val="multilevel"/>
    <w:tmpl w:val="4C28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2C1F"/>
    <w:multiLevelType w:val="multilevel"/>
    <w:tmpl w:val="BCA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0728"/>
    <w:multiLevelType w:val="multilevel"/>
    <w:tmpl w:val="6492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C3AF3"/>
    <w:multiLevelType w:val="hybridMultilevel"/>
    <w:tmpl w:val="90D000D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E269D"/>
    <w:multiLevelType w:val="hybridMultilevel"/>
    <w:tmpl w:val="102E2FB2"/>
    <w:lvl w:ilvl="0" w:tplc="6B306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0330FA"/>
    <w:multiLevelType w:val="multilevel"/>
    <w:tmpl w:val="B9884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AC5CB5"/>
    <w:multiLevelType w:val="multilevel"/>
    <w:tmpl w:val="BD14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0446A"/>
    <w:multiLevelType w:val="multilevel"/>
    <w:tmpl w:val="950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B288A"/>
    <w:multiLevelType w:val="hybridMultilevel"/>
    <w:tmpl w:val="ED104798"/>
    <w:lvl w:ilvl="0" w:tplc="6B30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234BB"/>
    <w:multiLevelType w:val="multilevel"/>
    <w:tmpl w:val="2E1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241A"/>
    <w:rsid w:val="002939B7"/>
    <w:rsid w:val="004E241A"/>
    <w:rsid w:val="00A0432D"/>
    <w:rsid w:val="00B27621"/>
    <w:rsid w:val="00F3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A"/>
  </w:style>
  <w:style w:type="paragraph" w:styleId="1">
    <w:name w:val="heading 1"/>
    <w:basedOn w:val="a"/>
    <w:next w:val="a"/>
    <w:link w:val="10"/>
    <w:uiPriority w:val="9"/>
    <w:qFormat/>
    <w:rsid w:val="00B2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4E241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4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E241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4E241A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E241A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apple-converted-space">
    <w:name w:val="apple-converted-space"/>
    <w:basedOn w:val="a0"/>
    <w:rsid w:val="004E241A"/>
  </w:style>
  <w:style w:type="character" w:customStyle="1" w:styleId="20">
    <w:name w:val="Заголовок 2 Знак"/>
    <w:basedOn w:val="a0"/>
    <w:link w:val="2"/>
    <w:uiPriority w:val="9"/>
    <w:rsid w:val="004E2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4E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24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B27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8164</Words>
  <Characters>4654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2017-04-18T15:12:00Z</dcterms:created>
  <dcterms:modified xsi:type="dcterms:W3CDTF">2017-04-18T15:41:00Z</dcterms:modified>
</cp:coreProperties>
</file>