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5C" w:rsidRPr="00BA4491" w:rsidRDefault="00A865F5" w:rsidP="00AF3A84">
      <w:pPr>
        <w:spacing w:after="0" w:line="240" w:lineRule="auto"/>
        <w:jc w:val="both"/>
        <w:rPr>
          <w:bCs/>
          <w:i/>
          <w:szCs w:val="28"/>
        </w:rPr>
      </w:pPr>
      <w:r w:rsidRPr="00BA4491">
        <w:rPr>
          <w:bCs/>
          <w:szCs w:val="28"/>
        </w:rPr>
        <w:t>УДК</w:t>
      </w:r>
      <w:r w:rsidR="00AF3A84" w:rsidRPr="00BA4491">
        <w:rPr>
          <w:bCs/>
          <w:szCs w:val="28"/>
        </w:rPr>
        <w:t xml:space="preserve"> </w:t>
      </w:r>
      <w:r w:rsidR="00AF3A84" w:rsidRPr="00BA4491">
        <w:rPr>
          <w:szCs w:val="28"/>
        </w:rPr>
        <w:t xml:space="preserve">911.3                                                                 </w:t>
      </w:r>
      <w:r w:rsidRPr="00BA4491">
        <w:rPr>
          <w:b/>
          <w:bCs/>
          <w:i/>
          <w:szCs w:val="28"/>
        </w:rPr>
        <w:t>В.Ю.Пестушко,</w:t>
      </w:r>
      <w:r w:rsidRPr="00BA4491">
        <w:rPr>
          <w:b/>
          <w:bCs/>
          <w:szCs w:val="28"/>
        </w:rPr>
        <w:t xml:space="preserve"> </w:t>
      </w:r>
      <w:r w:rsidR="00AF3A84" w:rsidRPr="00BA4491">
        <w:rPr>
          <w:bCs/>
          <w:i/>
          <w:szCs w:val="28"/>
        </w:rPr>
        <w:t>к.г.н., доц.</w:t>
      </w:r>
      <w:r w:rsidRPr="00BA4491">
        <w:rPr>
          <w:bCs/>
          <w:i/>
          <w:szCs w:val="28"/>
        </w:rPr>
        <w:t xml:space="preserve"> </w:t>
      </w:r>
    </w:p>
    <w:p w:rsidR="00AF3A84" w:rsidRPr="00BA4491" w:rsidRDefault="00AF3A84" w:rsidP="00390929">
      <w:pPr>
        <w:spacing w:after="0" w:line="240" w:lineRule="auto"/>
        <w:jc w:val="center"/>
        <w:rPr>
          <w:bCs/>
          <w:i/>
          <w:szCs w:val="28"/>
        </w:rPr>
      </w:pPr>
      <w:r w:rsidRPr="00BA4491">
        <w:rPr>
          <w:bCs/>
          <w:i/>
          <w:szCs w:val="28"/>
        </w:rPr>
        <w:t>Інститут</w:t>
      </w:r>
      <w:r w:rsidR="0029075C" w:rsidRPr="00BA4491">
        <w:rPr>
          <w:bCs/>
          <w:i/>
          <w:szCs w:val="28"/>
        </w:rPr>
        <w:t xml:space="preserve"> міжнародних відносин</w:t>
      </w:r>
    </w:p>
    <w:p w:rsidR="00A865F5" w:rsidRPr="00BA4491" w:rsidRDefault="0029075C" w:rsidP="00390929">
      <w:pPr>
        <w:spacing w:after="0" w:line="240" w:lineRule="auto"/>
        <w:jc w:val="center"/>
        <w:rPr>
          <w:i/>
          <w:szCs w:val="28"/>
        </w:rPr>
      </w:pPr>
      <w:r w:rsidRPr="00BA4491">
        <w:rPr>
          <w:bCs/>
          <w:i/>
          <w:szCs w:val="28"/>
        </w:rPr>
        <w:t>Національного авіаційного університету</w:t>
      </w:r>
    </w:p>
    <w:p w:rsidR="00A865F5" w:rsidRPr="00BA4491" w:rsidRDefault="00A865F5" w:rsidP="007F5F01">
      <w:pPr>
        <w:spacing w:before="240" w:after="0"/>
        <w:jc w:val="center"/>
        <w:rPr>
          <w:b/>
          <w:szCs w:val="28"/>
        </w:rPr>
      </w:pPr>
      <w:r w:rsidRPr="00BA4491">
        <w:rPr>
          <w:b/>
          <w:szCs w:val="28"/>
        </w:rPr>
        <w:t>СУЧАСНИЙ СТАН І ПЕРСПЕКТИВИ РОЗВИТКУ ТУРИЗМУ В УКРАЇНІ</w:t>
      </w:r>
    </w:p>
    <w:p w:rsidR="000A4B56" w:rsidRPr="00BA4491" w:rsidRDefault="00A865F5" w:rsidP="00366D03">
      <w:pPr>
        <w:spacing w:before="240" w:after="0" w:line="240" w:lineRule="auto"/>
        <w:ind w:firstLine="720"/>
        <w:jc w:val="both"/>
        <w:rPr>
          <w:szCs w:val="28"/>
        </w:rPr>
      </w:pPr>
      <w:r w:rsidRPr="00BA4491">
        <w:rPr>
          <w:bCs/>
          <w:i/>
          <w:iCs/>
          <w:szCs w:val="28"/>
        </w:rPr>
        <w:t>Актуальність</w:t>
      </w:r>
      <w:r w:rsidR="00D16517" w:rsidRPr="00BA4491">
        <w:rPr>
          <w:bCs/>
          <w:i/>
          <w:iCs/>
          <w:szCs w:val="28"/>
        </w:rPr>
        <w:t xml:space="preserve"> </w:t>
      </w:r>
      <w:r w:rsidR="00D16517" w:rsidRPr="00BA4491">
        <w:rPr>
          <w:i/>
          <w:szCs w:val="28"/>
        </w:rPr>
        <w:t>дослідження</w:t>
      </w:r>
      <w:r w:rsidR="005437D6" w:rsidRPr="00BA4491">
        <w:rPr>
          <w:i/>
          <w:szCs w:val="28"/>
        </w:rPr>
        <w:t xml:space="preserve">. </w:t>
      </w:r>
      <w:r w:rsidR="005437D6" w:rsidRPr="00BA4491">
        <w:rPr>
          <w:szCs w:val="28"/>
        </w:rPr>
        <w:t>Сучасний туризм – дуже динамічне явище.</w:t>
      </w:r>
      <w:r w:rsidR="00F539A2" w:rsidRPr="00BA4491">
        <w:rPr>
          <w:szCs w:val="28"/>
        </w:rPr>
        <w:t xml:space="preserve"> Практика свідчить, що с</w:t>
      </w:r>
      <w:r w:rsidR="005437D6" w:rsidRPr="00BA4491">
        <w:rPr>
          <w:szCs w:val="28"/>
        </w:rPr>
        <w:t xml:space="preserve">итуація щодо попиту на туристичні послуги упродовж </w:t>
      </w:r>
      <w:r w:rsidR="00CB5B56" w:rsidRPr="00BA4491">
        <w:rPr>
          <w:szCs w:val="28"/>
        </w:rPr>
        <w:t xml:space="preserve">навіть </w:t>
      </w:r>
      <w:r w:rsidR="005437D6" w:rsidRPr="00BA4491">
        <w:rPr>
          <w:szCs w:val="28"/>
        </w:rPr>
        <w:t>короткого періоду може кардинально змін</w:t>
      </w:r>
      <w:r w:rsidR="001537BA" w:rsidRPr="00BA4491">
        <w:rPr>
          <w:szCs w:val="28"/>
        </w:rPr>
        <w:t>юва</w:t>
      </w:r>
      <w:r w:rsidR="005437D6" w:rsidRPr="00BA4491">
        <w:rPr>
          <w:szCs w:val="28"/>
        </w:rPr>
        <w:t>тися не лише в окремих країнах, але й загалом у світі.</w:t>
      </w:r>
      <w:r w:rsidR="00F539A2" w:rsidRPr="00BA4491">
        <w:rPr>
          <w:szCs w:val="28"/>
        </w:rPr>
        <w:t xml:space="preserve"> </w:t>
      </w:r>
      <w:r w:rsidR="001537BA" w:rsidRPr="00BA4491">
        <w:rPr>
          <w:szCs w:val="28"/>
        </w:rPr>
        <w:t>Особливо велику роль у таких змінах відіграють великомасштабні кризові явища та події. Саме така</w:t>
      </w:r>
      <w:r w:rsidR="00426310" w:rsidRPr="00BA4491">
        <w:rPr>
          <w:szCs w:val="28"/>
        </w:rPr>
        <w:t xml:space="preserve"> подія – глобальна </w:t>
      </w:r>
      <w:r w:rsidR="001537BA" w:rsidRPr="00BA4491">
        <w:rPr>
          <w:szCs w:val="28"/>
        </w:rPr>
        <w:t>економ</w:t>
      </w:r>
      <w:r w:rsidR="001537BA" w:rsidRPr="00BA4491">
        <w:rPr>
          <w:szCs w:val="28"/>
        </w:rPr>
        <w:t>і</w:t>
      </w:r>
      <w:r w:rsidR="001537BA" w:rsidRPr="00BA4491">
        <w:rPr>
          <w:szCs w:val="28"/>
        </w:rPr>
        <w:t xml:space="preserve">чна та фінансова криза </w:t>
      </w:r>
      <w:r w:rsidR="00426310" w:rsidRPr="00BA4491">
        <w:rPr>
          <w:szCs w:val="28"/>
        </w:rPr>
        <w:t xml:space="preserve">– </w:t>
      </w:r>
      <w:r w:rsidR="001537BA" w:rsidRPr="00BA4491">
        <w:rPr>
          <w:szCs w:val="28"/>
        </w:rPr>
        <w:t>триває упродовж останніх кількох років.</w:t>
      </w:r>
      <w:r w:rsidR="0005167B" w:rsidRPr="00BA4491">
        <w:rPr>
          <w:szCs w:val="28"/>
        </w:rPr>
        <w:t xml:space="preserve"> Впливу її з</w:t>
      </w:r>
      <w:r w:rsidR="0005167B" w:rsidRPr="00BA4491">
        <w:rPr>
          <w:szCs w:val="28"/>
        </w:rPr>
        <w:t>а</w:t>
      </w:r>
      <w:r w:rsidR="0005167B" w:rsidRPr="00BA4491">
        <w:rPr>
          <w:szCs w:val="28"/>
        </w:rPr>
        <w:t>знала се</w:t>
      </w:r>
      <w:r w:rsidR="007954FA" w:rsidRPr="00BA4491">
        <w:rPr>
          <w:szCs w:val="28"/>
        </w:rPr>
        <w:t xml:space="preserve">ред інших держав і Україна, що </w:t>
      </w:r>
      <w:r w:rsidR="000A4B56" w:rsidRPr="00BA4491">
        <w:rPr>
          <w:szCs w:val="28"/>
        </w:rPr>
        <w:t>робить особливо актуальним регулярні дослідження стану туризму в країні з урахуванням останніх статистичних д</w:t>
      </w:r>
      <w:r w:rsidR="000A4B56" w:rsidRPr="00BA4491">
        <w:rPr>
          <w:szCs w:val="28"/>
        </w:rPr>
        <w:t>а</w:t>
      </w:r>
      <w:r w:rsidR="000A4B56" w:rsidRPr="00BA4491">
        <w:rPr>
          <w:szCs w:val="28"/>
        </w:rPr>
        <w:t>них.</w:t>
      </w:r>
    </w:p>
    <w:p w:rsidR="00A054C4" w:rsidRPr="00BA4491" w:rsidRDefault="000A4B56" w:rsidP="00EF586D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bCs/>
          <w:i/>
          <w:iCs/>
          <w:szCs w:val="28"/>
        </w:rPr>
        <w:t>Мета</w:t>
      </w:r>
      <w:r w:rsidR="00D46119" w:rsidRPr="00BA4491">
        <w:rPr>
          <w:bCs/>
          <w:i/>
          <w:iCs/>
          <w:szCs w:val="28"/>
        </w:rPr>
        <w:t xml:space="preserve"> </w:t>
      </w:r>
      <w:r w:rsidR="00D46119" w:rsidRPr="00BA4491">
        <w:rPr>
          <w:i/>
          <w:szCs w:val="28"/>
        </w:rPr>
        <w:t xml:space="preserve">дослідження </w:t>
      </w:r>
      <w:r w:rsidR="00D46119" w:rsidRPr="00BA4491">
        <w:rPr>
          <w:szCs w:val="28"/>
        </w:rPr>
        <w:t xml:space="preserve">– </w:t>
      </w:r>
      <w:r w:rsidR="00EF586D" w:rsidRPr="00BA4491">
        <w:rPr>
          <w:szCs w:val="28"/>
        </w:rPr>
        <w:t xml:space="preserve">визначення </w:t>
      </w:r>
      <w:r w:rsidR="00D46119" w:rsidRPr="00BA4491">
        <w:rPr>
          <w:szCs w:val="28"/>
        </w:rPr>
        <w:t xml:space="preserve">сучасного стану туризму </w:t>
      </w:r>
      <w:r w:rsidR="00EF586D" w:rsidRPr="00BA4491">
        <w:rPr>
          <w:szCs w:val="28"/>
        </w:rPr>
        <w:t>в Україні, в</w:t>
      </w:r>
      <w:r w:rsidR="00EF586D" w:rsidRPr="00BA4491">
        <w:rPr>
          <w:szCs w:val="28"/>
        </w:rPr>
        <w:t>и</w:t>
      </w:r>
      <w:r w:rsidR="00EF586D" w:rsidRPr="00BA4491">
        <w:rPr>
          <w:szCs w:val="28"/>
        </w:rPr>
        <w:t>явлення тенденцій та перспектив його подальшого розвитку.</w:t>
      </w:r>
    </w:p>
    <w:p w:rsidR="00380BC9" w:rsidRPr="00BA4491" w:rsidRDefault="00EF586D" w:rsidP="00380BC9">
      <w:pPr>
        <w:spacing w:after="0" w:line="240" w:lineRule="auto"/>
        <w:ind w:firstLine="709"/>
        <w:jc w:val="both"/>
        <w:rPr>
          <w:szCs w:val="28"/>
        </w:rPr>
      </w:pPr>
      <w:r w:rsidRPr="00BA4491">
        <w:rPr>
          <w:i/>
          <w:szCs w:val="28"/>
        </w:rPr>
        <w:t>Виклад основного матеріалу</w:t>
      </w:r>
      <w:r w:rsidRPr="00BA4491">
        <w:rPr>
          <w:szCs w:val="28"/>
        </w:rPr>
        <w:t xml:space="preserve">. </w:t>
      </w:r>
      <w:r w:rsidR="007F045B" w:rsidRPr="00BA4491">
        <w:rPr>
          <w:szCs w:val="28"/>
        </w:rPr>
        <w:t>Наявні статистичні дані Всесвітньої тури</w:t>
      </w:r>
      <w:r w:rsidR="007F045B" w:rsidRPr="00BA4491">
        <w:rPr>
          <w:szCs w:val="28"/>
        </w:rPr>
        <w:t>с</w:t>
      </w:r>
      <w:r w:rsidR="007F045B" w:rsidRPr="00BA4491">
        <w:rPr>
          <w:szCs w:val="28"/>
        </w:rPr>
        <w:t>тичної організації (UNWTO)</w:t>
      </w:r>
      <w:r w:rsidR="00380BC9" w:rsidRPr="00BA4491">
        <w:rPr>
          <w:szCs w:val="28"/>
        </w:rPr>
        <w:t xml:space="preserve"> дозволяють стверджувати, що популярність Укр</w:t>
      </w:r>
      <w:r w:rsidR="00380BC9" w:rsidRPr="00BA4491">
        <w:rPr>
          <w:szCs w:val="28"/>
        </w:rPr>
        <w:t>а</w:t>
      </w:r>
      <w:r w:rsidR="00380BC9" w:rsidRPr="00BA4491">
        <w:rPr>
          <w:szCs w:val="28"/>
        </w:rPr>
        <w:t>їни як туристичної дестинації є досить великою. Хоча слід визнати, що така п</w:t>
      </w:r>
      <w:r w:rsidR="00380BC9" w:rsidRPr="00BA4491">
        <w:rPr>
          <w:szCs w:val="28"/>
        </w:rPr>
        <w:t>о</w:t>
      </w:r>
      <w:r w:rsidR="00380BC9" w:rsidRPr="00BA4491">
        <w:rPr>
          <w:szCs w:val="28"/>
        </w:rPr>
        <w:t>пулярність є не стабільною. Із середини 1990-х років обсяги в’їзних туристи</w:t>
      </w:r>
      <w:r w:rsidR="00380BC9" w:rsidRPr="00BA4491">
        <w:rPr>
          <w:szCs w:val="28"/>
        </w:rPr>
        <w:t>ч</w:t>
      </w:r>
      <w:r w:rsidR="00380BC9" w:rsidRPr="00BA4491">
        <w:rPr>
          <w:szCs w:val="28"/>
        </w:rPr>
        <w:t>них потоків загалом мали тенденцію до зростання</w:t>
      </w:r>
      <w:r w:rsidR="004C5A4F" w:rsidRPr="00BA4491">
        <w:rPr>
          <w:szCs w:val="28"/>
        </w:rPr>
        <w:t xml:space="preserve"> (з менш як 4 млн. у 1995 р.  до більш як 23 млн. у 2012 р.)</w:t>
      </w:r>
      <w:r w:rsidR="00380BC9" w:rsidRPr="00BA4491">
        <w:rPr>
          <w:szCs w:val="28"/>
        </w:rPr>
        <w:t>, що водночас супроводжувалося помітними к</w:t>
      </w:r>
      <w:r w:rsidR="00380BC9" w:rsidRPr="00BA4491">
        <w:rPr>
          <w:szCs w:val="28"/>
        </w:rPr>
        <w:t>о</w:t>
      </w:r>
      <w:r w:rsidR="00380BC9" w:rsidRPr="00BA4491">
        <w:rPr>
          <w:szCs w:val="28"/>
        </w:rPr>
        <w:t>ливаннями у кількості туристичних прибуттів до країни</w:t>
      </w:r>
      <w:r w:rsidR="006D6793" w:rsidRPr="00BA4491">
        <w:rPr>
          <w:szCs w:val="28"/>
        </w:rPr>
        <w:t xml:space="preserve"> у різні роки</w:t>
      </w:r>
      <w:r w:rsidR="00380BC9" w:rsidRPr="00BA4491">
        <w:rPr>
          <w:szCs w:val="28"/>
        </w:rPr>
        <w:t xml:space="preserve">. </w:t>
      </w:r>
      <w:r w:rsidR="006D6793" w:rsidRPr="00BA4491">
        <w:rPr>
          <w:szCs w:val="28"/>
        </w:rPr>
        <w:t>Як насл</w:t>
      </w:r>
      <w:r w:rsidR="006D6793" w:rsidRPr="00BA4491">
        <w:rPr>
          <w:szCs w:val="28"/>
        </w:rPr>
        <w:t>і</w:t>
      </w:r>
      <w:r w:rsidR="006D6793" w:rsidRPr="00BA4491">
        <w:rPr>
          <w:szCs w:val="28"/>
        </w:rPr>
        <w:t xml:space="preserve">док, світовий рейтинг України за туристичними прибуттями </w:t>
      </w:r>
      <w:r w:rsidR="006E13A3" w:rsidRPr="00BA4491">
        <w:rPr>
          <w:szCs w:val="28"/>
        </w:rPr>
        <w:t xml:space="preserve">неодноразово </w:t>
      </w:r>
      <w:r w:rsidR="006D6793" w:rsidRPr="00BA4491">
        <w:rPr>
          <w:szCs w:val="28"/>
        </w:rPr>
        <w:t>зм</w:t>
      </w:r>
      <w:r w:rsidR="006D6793" w:rsidRPr="00BA4491">
        <w:rPr>
          <w:szCs w:val="28"/>
        </w:rPr>
        <w:t>і</w:t>
      </w:r>
      <w:r w:rsidR="006D6793" w:rsidRPr="00BA4491">
        <w:rPr>
          <w:szCs w:val="28"/>
        </w:rPr>
        <w:t>нювався (Таб.1.).</w:t>
      </w:r>
    </w:p>
    <w:p w:rsidR="00BB7B4F" w:rsidRPr="00BA4491" w:rsidRDefault="00BB7B4F" w:rsidP="00380BC9">
      <w:pPr>
        <w:spacing w:after="0" w:line="240" w:lineRule="auto"/>
        <w:ind w:firstLine="709"/>
        <w:jc w:val="both"/>
        <w:rPr>
          <w:szCs w:val="28"/>
        </w:rPr>
      </w:pPr>
    </w:p>
    <w:p w:rsidR="009478FE" w:rsidRPr="00BA4491" w:rsidRDefault="00BB7B4F" w:rsidP="009478FE">
      <w:pPr>
        <w:spacing w:after="0" w:line="240" w:lineRule="auto"/>
        <w:ind w:firstLine="709"/>
        <w:jc w:val="center"/>
        <w:rPr>
          <w:szCs w:val="28"/>
        </w:rPr>
      </w:pPr>
      <w:r w:rsidRPr="00BA4491">
        <w:rPr>
          <w:szCs w:val="28"/>
        </w:rPr>
        <w:t>Місце України у світовому рейтингу за туристичними прибуттями</w:t>
      </w:r>
    </w:p>
    <w:p w:rsidR="009D01BF" w:rsidRPr="00BA4491" w:rsidRDefault="009478FE" w:rsidP="009D01BF">
      <w:pPr>
        <w:spacing w:after="0" w:line="240" w:lineRule="auto"/>
        <w:ind w:firstLine="709"/>
        <w:jc w:val="center"/>
        <w:rPr>
          <w:szCs w:val="28"/>
        </w:rPr>
      </w:pPr>
      <w:r w:rsidRPr="00BA4491">
        <w:rPr>
          <w:szCs w:val="28"/>
        </w:rPr>
        <w:t>і доходами від в’їзного туризму</w:t>
      </w:r>
      <w:r w:rsidR="007F1017" w:rsidRPr="00BA4491">
        <w:rPr>
          <w:szCs w:val="28"/>
        </w:rPr>
        <w:t xml:space="preserve"> </w:t>
      </w:r>
      <w:r w:rsidR="009D01BF" w:rsidRPr="00BA4491">
        <w:rPr>
          <w:szCs w:val="28"/>
        </w:rPr>
        <w:t>(</w:t>
      </w:r>
      <w:r w:rsidR="00390F7D" w:rsidRPr="00BA4491">
        <w:rPr>
          <w:szCs w:val="28"/>
        </w:rPr>
        <w:t xml:space="preserve">побудовано </w:t>
      </w:r>
      <w:r w:rsidR="009D01BF" w:rsidRPr="00BA4491">
        <w:rPr>
          <w:szCs w:val="28"/>
        </w:rPr>
        <w:t>за даними [1])</w:t>
      </w:r>
    </w:p>
    <w:p w:rsidR="00380BC9" w:rsidRPr="00BA4491" w:rsidRDefault="00BB7B4F" w:rsidP="00BB7B4F">
      <w:pPr>
        <w:spacing w:after="0" w:line="240" w:lineRule="auto"/>
        <w:ind w:firstLine="709"/>
        <w:jc w:val="right"/>
        <w:rPr>
          <w:szCs w:val="28"/>
        </w:rPr>
      </w:pPr>
      <w:r w:rsidRPr="00BA4491">
        <w:rPr>
          <w:szCs w:val="28"/>
        </w:rPr>
        <w:t>Таб.1.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417"/>
        <w:gridCol w:w="1843"/>
        <w:gridCol w:w="1559"/>
      </w:tblGrid>
      <w:tr w:rsidR="00424016" w:rsidRPr="00BA4491" w:rsidTr="00424016">
        <w:trPr>
          <w:trHeight w:val="365"/>
        </w:trPr>
        <w:tc>
          <w:tcPr>
            <w:tcW w:w="1418" w:type="dxa"/>
            <w:vMerge w:val="restart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</w:p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Рік</w:t>
            </w:r>
          </w:p>
        </w:tc>
        <w:tc>
          <w:tcPr>
            <w:tcW w:w="3402" w:type="dxa"/>
            <w:gridSpan w:val="2"/>
          </w:tcPr>
          <w:p w:rsidR="00424016" w:rsidRPr="00BA4491" w:rsidRDefault="00424016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Рейтинг (місце)</w:t>
            </w:r>
          </w:p>
        </w:tc>
        <w:tc>
          <w:tcPr>
            <w:tcW w:w="1417" w:type="dxa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Рік</w:t>
            </w:r>
          </w:p>
        </w:tc>
        <w:tc>
          <w:tcPr>
            <w:tcW w:w="3402" w:type="dxa"/>
            <w:gridSpan w:val="2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Рейтинг (місце)</w:t>
            </w:r>
          </w:p>
        </w:tc>
      </w:tr>
      <w:tr w:rsidR="00424016" w:rsidRPr="00BA4491" w:rsidTr="00424016">
        <w:trPr>
          <w:trHeight w:val="485"/>
        </w:trPr>
        <w:tc>
          <w:tcPr>
            <w:tcW w:w="1418" w:type="dxa"/>
            <w:vMerge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за туристичними прибуттями</w:t>
            </w:r>
          </w:p>
        </w:tc>
        <w:tc>
          <w:tcPr>
            <w:tcW w:w="1559" w:type="dxa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за доходами</w:t>
            </w:r>
          </w:p>
        </w:tc>
        <w:tc>
          <w:tcPr>
            <w:tcW w:w="1417" w:type="dxa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за туристичними прибуттями</w:t>
            </w:r>
          </w:p>
        </w:tc>
        <w:tc>
          <w:tcPr>
            <w:tcW w:w="1559" w:type="dxa"/>
          </w:tcPr>
          <w:p w:rsidR="00424016" w:rsidRPr="00BA4491" w:rsidRDefault="00424016" w:rsidP="00BE5F6D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за доходами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EF586D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1995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28</w:t>
            </w:r>
          </w:p>
        </w:tc>
        <w:tc>
          <w:tcPr>
            <w:tcW w:w="1559" w:type="dxa"/>
          </w:tcPr>
          <w:p w:rsidR="009D01BF" w:rsidRPr="00BA4491" w:rsidRDefault="00424016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102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2004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14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47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EF586D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1996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27</w:t>
            </w:r>
          </w:p>
        </w:tc>
        <w:tc>
          <w:tcPr>
            <w:tcW w:w="1559" w:type="dxa"/>
          </w:tcPr>
          <w:p w:rsidR="009D01BF" w:rsidRPr="00BA4491" w:rsidRDefault="00424016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79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2005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13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44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EF586D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1997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16</w:t>
            </w:r>
          </w:p>
        </w:tc>
        <w:tc>
          <w:tcPr>
            <w:tcW w:w="1559" w:type="dxa"/>
          </w:tcPr>
          <w:p w:rsidR="009D01BF" w:rsidRPr="00BA4491" w:rsidRDefault="00424016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78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2006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10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45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EF586D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1998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19</w:t>
            </w:r>
          </w:p>
        </w:tc>
        <w:tc>
          <w:tcPr>
            <w:tcW w:w="1559" w:type="dxa"/>
          </w:tcPr>
          <w:p w:rsidR="009D01BF" w:rsidRPr="00BA4491" w:rsidRDefault="00E034C4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75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2007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9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44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EF586D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1999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31</w:t>
            </w:r>
          </w:p>
        </w:tc>
        <w:tc>
          <w:tcPr>
            <w:tcW w:w="1559" w:type="dxa"/>
          </w:tcPr>
          <w:p w:rsidR="009D01BF" w:rsidRPr="00BA4491" w:rsidRDefault="00E034C4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77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2008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8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39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EF586D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2000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18</w:t>
            </w:r>
          </w:p>
        </w:tc>
        <w:tc>
          <w:tcPr>
            <w:tcW w:w="1559" w:type="dxa"/>
          </w:tcPr>
          <w:p w:rsidR="009D01BF" w:rsidRPr="00BA4491" w:rsidRDefault="00E034C4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73</w:t>
            </w:r>
          </w:p>
        </w:tc>
        <w:tc>
          <w:tcPr>
            <w:tcW w:w="1417" w:type="dxa"/>
          </w:tcPr>
          <w:p w:rsidR="009D01BF" w:rsidRPr="00BA4491" w:rsidRDefault="009D01BF" w:rsidP="005777CB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2009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12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45</w:t>
            </w:r>
          </w:p>
        </w:tc>
      </w:tr>
      <w:tr w:rsidR="005777CB" w:rsidRPr="00BA4491" w:rsidTr="00424016">
        <w:tc>
          <w:tcPr>
            <w:tcW w:w="1418" w:type="dxa"/>
          </w:tcPr>
          <w:p w:rsidR="005777CB" w:rsidRPr="00BA4491" w:rsidRDefault="005777CB">
            <w:pPr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2001</w:t>
            </w:r>
          </w:p>
        </w:tc>
        <w:tc>
          <w:tcPr>
            <w:tcW w:w="1843" w:type="dxa"/>
          </w:tcPr>
          <w:p w:rsidR="005777CB" w:rsidRPr="00BA4491" w:rsidRDefault="005777CB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19</w:t>
            </w:r>
          </w:p>
        </w:tc>
        <w:tc>
          <w:tcPr>
            <w:tcW w:w="1559" w:type="dxa"/>
          </w:tcPr>
          <w:p w:rsidR="005777CB" w:rsidRPr="00BA4491" w:rsidRDefault="00E90683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68</w:t>
            </w:r>
          </w:p>
        </w:tc>
        <w:tc>
          <w:tcPr>
            <w:tcW w:w="1417" w:type="dxa"/>
          </w:tcPr>
          <w:p w:rsidR="005777CB" w:rsidRPr="00BA4491" w:rsidRDefault="005777CB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2010</w:t>
            </w:r>
          </w:p>
        </w:tc>
        <w:tc>
          <w:tcPr>
            <w:tcW w:w="1843" w:type="dxa"/>
          </w:tcPr>
          <w:p w:rsidR="005777CB" w:rsidRPr="00BA4491" w:rsidRDefault="005777CB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12</w:t>
            </w:r>
          </w:p>
        </w:tc>
        <w:tc>
          <w:tcPr>
            <w:tcW w:w="1559" w:type="dxa"/>
          </w:tcPr>
          <w:p w:rsidR="005777CB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46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>
            <w:pPr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2002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19</w:t>
            </w:r>
          </w:p>
        </w:tc>
        <w:tc>
          <w:tcPr>
            <w:tcW w:w="1559" w:type="dxa"/>
          </w:tcPr>
          <w:p w:rsidR="009D01BF" w:rsidRPr="00BA4491" w:rsidRDefault="00E90683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63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2011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13</w:t>
            </w:r>
          </w:p>
        </w:tc>
        <w:tc>
          <w:tcPr>
            <w:tcW w:w="1559" w:type="dxa"/>
          </w:tcPr>
          <w:p w:rsidR="009D01BF" w:rsidRPr="00BA4491" w:rsidRDefault="00CF712E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45</w:t>
            </w:r>
          </w:p>
        </w:tc>
      </w:tr>
      <w:tr w:rsidR="009D01BF" w:rsidRPr="00BA4491" w:rsidTr="00424016">
        <w:tc>
          <w:tcPr>
            <w:tcW w:w="1418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2003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15</w:t>
            </w:r>
          </w:p>
        </w:tc>
        <w:tc>
          <w:tcPr>
            <w:tcW w:w="1559" w:type="dxa"/>
          </w:tcPr>
          <w:p w:rsidR="009D01BF" w:rsidRPr="00BA4491" w:rsidRDefault="00E90683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65</w:t>
            </w:r>
          </w:p>
        </w:tc>
        <w:tc>
          <w:tcPr>
            <w:tcW w:w="1417" w:type="dxa"/>
          </w:tcPr>
          <w:p w:rsidR="009D01BF" w:rsidRPr="00BA4491" w:rsidRDefault="009D01BF" w:rsidP="008A24B9">
            <w:pPr>
              <w:jc w:val="both"/>
              <w:rPr>
                <w:b/>
                <w:sz w:val="22"/>
              </w:rPr>
            </w:pPr>
            <w:r w:rsidRPr="00BA4491">
              <w:rPr>
                <w:b/>
                <w:sz w:val="22"/>
              </w:rPr>
              <w:t>2012</w:t>
            </w:r>
          </w:p>
        </w:tc>
        <w:tc>
          <w:tcPr>
            <w:tcW w:w="1843" w:type="dxa"/>
          </w:tcPr>
          <w:p w:rsidR="009D01BF" w:rsidRPr="00BA4491" w:rsidRDefault="009D01BF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12</w:t>
            </w:r>
          </w:p>
        </w:tc>
        <w:tc>
          <w:tcPr>
            <w:tcW w:w="1559" w:type="dxa"/>
          </w:tcPr>
          <w:p w:rsidR="009D01BF" w:rsidRPr="00BA4491" w:rsidRDefault="00E90683" w:rsidP="00424016">
            <w:pPr>
              <w:jc w:val="center"/>
              <w:rPr>
                <w:sz w:val="22"/>
              </w:rPr>
            </w:pPr>
            <w:r w:rsidRPr="00BA4491">
              <w:rPr>
                <w:sz w:val="22"/>
              </w:rPr>
              <w:t>…</w:t>
            </w:r>
          </w:p>
        </w:tc>
      </w:tr>
    </w:tbl>
    <w:p w:rsidR="006D6793" w:rsidRPr="00BA4491" w:rsidRDefault="006D6793" w:rsidP="00EF586D">
      <w:pPr>
        <w:spacing w:after="0" w:line="240" w:lineRule="auto"/>
        <w:ind w:firstLine="709"/>
        <w:jc w:val="both"/>
        <w:rPr>
          <w:szCs w:val="28"/>
        </w:rPr>
      </w:pPr>
    </w:p>
    <w:p w:rsidR="00B560C0" w:rsidRPr="00BA4491" w:rsidRDefault="00F74E2D" w:rsidP="00B560C0">
      <w:pPr>
        <w:spacing w:after="0" w:line="240" w:lineRule="auto"/>
        <w:ind w:firstLine="709"/>
        <w:jc w:val="center"/>
        <w:rPr>
          <w:szCs w:val="28"/>
        </w:rPr>
      </w:pPr>
      <w:r w:rsidRPr="00BA4491">
        <w:rPr>
          <w:szCs w:val="28"/>
        </w:rPr>
        <w:t>Попри непогані місця у світовому рейтингу</w:t>
      </w:r>
      <w:r w:rsidR="004D4F1C" w:rsidRPr="00BA4491">
        <w:rPr>
          <w:szCs w:val="28"/>
        </w:rPr>
        <w:t xml:space="preserve"> </w:t>
      </w:r>
      <w:r w:rsidR="00B560C0" w:rsidRPr="00BA4491">
        <w:rPr>
          <w:szCs w:val="28"/>
        </w:rPr>
        <w:t>за туристичними прибуттями</w:t>
      </w:r>
    </w:p>
    <w:p w:rsidR="006D6793" w:rsidRPr="00BA4491" w:rsidRDefault="004D4F1C" w:rsidP="00B560C0">
      <w:pPr>
        <w:spacing w:after="0" w:line="240" w:lineRule="auto"/>
        <w:jc w:val="both"/>
        <w:rPr>
          <w:szCs w:val="28"/>
        </w:rPr>
      </w:pPr>
      <w:r w:rsidRPr="00BA4491">
        <w:rPr>
          <w:szCs w:val="28"/>
        </w:rPr>
        <w:t>упродовж останніх років</w:t>
      </w:r>
      <w:r w:rsidR="00F74E2D" w:rsidRPr="00BA4491">
        <w:rPr>
          <w:szCs w:val="28"/>
        </w:rPr>
        <w:t>, ситуація з розвитком туризму в Україні є далеко не найкращою. Про це зокрема свідчать тенденції, що спостерігаються у в’їзному туризмі. За період 1995-2012 рр. темпи приросту туристичних прибуттів неух</w:t>
      </w:r>
      <w:r w:rsidR="00F74E2D" w:rsidRPr="00BA4491">
        <w:rPr>
          <w:szCs w:val="28"/>
        </w:rPr>
        <w:t>и</w:t>
      </w:r>
      <w:r w:rsidR="00F74E2D" w:rsidRPr="00BA4491">
        <w:rPr>
          <w:szCs w:val="28"/>
        </w:rPr>
        <w:lastRenderedPageBreak/>
        <w:t>льно знижуються</w:t>
      </w:r>
      <w:r w:rsidR="008842B0" w:rsidRPr="00BA4491">
        <w:rPr>
          <w:szCs w:val="28"/>
        </w:rPr>
        <w:t>, що загалом зумовлює негативний тренд розвитку в’їзного туризму</w:t>
      </w:r>
      <w:r w:rsidR="00C52865" w:rsidRPr="00BA4491">
        <w:rPr>
          <w:szCs w:val="28"/>
        </w:rPr>
        <w:t xml:space="preserve"> (рис.1.)</w:t>
      </w:r>
    </w:p>
    <w:p w:rsidR="00F74E2D" w:rsidRPr="00BA4491" w:rsidRDefault="00F74E2D" w:rsidP="00EF586D">
      <w:pPr>
        <w:spacing w:after="0" w:line="240" w:lineRule="auto"/>
        <w:ind w:firstLine="709"/>
        <w:jc w:val="both"/>
        <w:rPr>
          <w:szCs w:val="28"/>
        </w:rPr>
      </w:pPr>
    </w:p>
    <w:p w:rsidR="00F74E2D" w:rsidRPr="00BA4491" w:rsidRDefault="00F74E2D" w:rsidP="00933DDF">
      <w:pPr>
        <w:spacing w:after="0" w:line="240" w:lineRule="auto"/>
        <w:jc w:val="center"/>
        <w:rPr>
          <w:szCs w:val="28"/>
        </w:rPr>
      </w:pPr>
      <w:r w:rsidRPr="00BA4491">
        <w:rPr>
          <w:noProof/>
          <w:szCs w:val="28"/>
          <w:lang w:eastAsia="uk-UA"/>
        </w:rPr>
        <w:drawing>
          <wp:inline distT="0" distB="0" distL="0" distR="0">
            <wp:extent cx="5783295" cy="3569882"/>
            <wp:effectExtent l="0" t="0" r="82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0BC9" w:rsidRPr="00BA4491" w:rsidRDefault="00202631" w:rsidP="00EF586D">
      <w:pPr>
        <w:spacing w:after="0" w:line="240" w:lineRule="auto"/>
        <w:ind w:firstLine="709"/>
        <w:jc w:val="both"/>
        <w:rPr>
          <w:szCs w:val="28"/>
        </w:rPr>
      </w:pPr>
      <w:r w:rsidRPr="00BA4491">
        <w:rPr>
          <w:szCs w:val="28"/>
        </w:rPr>
        <w:t xml:space="preserve"> </w:t>
      </w:r>
    </w:p>
    <w:p w:rsidR="00440360" w:rsidRPr="00BA4491" w:rsidRDefault="00C52865" w:rsidP="00440360">
      <w:pPr>
        <w:spacing w:after="0" w:line="240" w:lineRule="auto"/>
        <w:jc w:val="center"/>
        <w:rPr>
          <w:szCs w:val="28"/>
        </w:rPr>
      </w:pPr>
      <w:r w:rsidRPr="00BA4491">
        <w:rPr>
          <w:szCs w:val="28"/>
        </w:rPr>
        <w:t>Рис. 1. Темпи приросту туристичних прибуттів до України</w:t>
      </w:r>
      <w:r w:rsidR="001B487C" w:rsidRPr="00BA4491">
        <w:rPr>
          <w:szCs w:val="28"/>
        </w:rPr>
        <w:t>, %</w:t>
      </w:r>
    </w:p>
    <w:p w:rsidR="00A054C4" w:rsidRPr="00BA4491" w:rsidRDefault="00440360" w:rsidP="001537BA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 xml:space="preserve">                                            (</w:t>
      </w:r>
      <w:r w:rsidR="00390F7D" w:rsidRPr="00BA4491">
        <w:rPr>
          <w:szCs w:val="28"/>
        </w:rPr>
        <w:t xml:space="preserve">побудовано </w:t>
      </w:r>
      <w:r w:rsidRPr="00BA4491">
        <w:rPr>
          <w:szCs w:val="28"/>
        </w:rPr>
        <w:t>за даними [1])</w:t>
      </w:r>
    </w:p>
    <w:p w:rsidR="00933DDF" w:rsidRPr="00BA4491" w:rsidRDefault="00933DDF" w:rsidP="001537BA">
      <w:pPr>
        <w:spacing w:after="0" w:line="240" w:lineRule="auto"/>
        <w:ind w:firstLine="720"/>
        <w:jc w:val="both"/>
        <w:rPr>
          <w:szCs w:val="28"/>
        </w:rPr>
      </w:pPr>
    </w:p>
    <w:p w:rsidR="001E3FA6" w:rsidRPr="00BA4491" w:rsidRDefault="001E3FA6" w:rsidP="001537BA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>Негативні тенденції розвитку в’їзного туризму проявляються особливо виразно через інш</w:t>
      </w:r>
      <w:r w:rsidR="009B289E" w:rsidRPr="00BA4491">
        <w:rPr>
          <w:szCs w:val="28"/>
        </w:rPr>
        <w:t>і</w:t>
      </w:r>
      <w:r w:rsidRPr="00BA4491">
        <w:rPr>
          <w:szCs w:val="28"/>
        </w:rPr>
        <w:t xml:space="preserve"> важлив</w:t>
      </w:r>
      <w:r w:rsidR="009B289E" w:rsidRPr="00BA4491">
        <w:rPr>
          <w:szCs w:val="28"/>
        </w:rPr>
        <w:t>і</w:t>
      </w:r>
      <w:r w:rsidRPr="00BA4491">
        <w:rPr>
          <w:szCs w:val="28"/>
        </w:rPr>
        <w:t xml:space="preserve"> показник</w:t>
      </w:r>
      <w:r w:rsidR="009B289E" w:rsidRPr="00BA4491">
        <w:rPr>
          <w:szCs w:val="28"/>
        </w:rPr>
        <w:t>и</w:t>
      </w:r>
      <w:r w:rsidRPr="00BA4491">
        <w:rPr>
          <w:szCs w:val="28"/>
        </w:rPr>
        <w:t xml:space="preserve"> – </w:t>
      </w:r>
      <w:r w:rsidRPr="00BA4491">
        <w:t>доходи та темпи приросту доходів від туристичних прибуттів</w:t>
      </w:r>
      <w:r w:rsidR="00B04C97" w:rsidRPr="00BA4491">
        <w:t xml:space="preserve"> (Рис.2.)</w:t>
      </w:r>
      <w:r w:rsidRPr="00BA4491">
        <w:t>.</w:t>
      </w:r>
      <w:r w:rsidR="00A4012F" w:rsidRPr="00BA4491">
        <w:t xml:space="preserve"> За даними </w:t>
      </w:r>
      <w:r w:rsidR="00A4012F" w:rsidRPr="00BA4491">
        <w:rPr>
          <w:szCs w:val="28"/>
        </w:rPr>
        <w:t xml:space="preserve">UNWTO, Україна останніми роками заробляє на іноземному туризмі лише </w:t>
      </w:r>
      <w:r w:rsidR="00B04C97" w:rsidRPr="00BA4491">
        <w:rPr>
          <w:szCs w:val="28"/>
        </w:rPr>
        <w:t>4-5 млрд. дол. США. За період, що роз</w:t>
      </w:r>
      <w:r w:rsidR="00B04C97" w:rsidRPr="00BA4491">
        <w:rPr>
          <w:szCs w:val="28"/>
        </w:rPr>
        <w:t>г</w:t>
      </w:r>
      <w:r w:rsidR="00B04C97" w:rsidRPr="00BA4491">
        <w:rPr>
          <w:szCs w:val="28"/>
        </w:rPr>
        <w:t>лядається, найкраща ситуація мала місце у 2008 р., коли в країну завдяки іноз</w:t>
      </w:r>
      <w:r w:rsidR="00B04C97" w:rsidRPr="00BA4491">
        <w:rPr>
          <w:szCs w:val="28"/>
        </w:rPr>
        <w:t>е</w:t>
      </w:r>
      <w:r w:rsidR="00B04C97" w:rsidRPr="00BA4491">
        <w:rPr>
          <w:szCs w:val="28"/>
        </w:rPr>
        <w:t>мному туризму надійшло понад 6,5 млрд. дол. США.</w:t>
      </w:r>
      <w:r w:rsidR="009A23E0" w:rsidRPr="00BA4491">
        <w:rPr>
          <w:szCs w:val="28"/>
        </w:rPr>
        <w:t xml:space="preserve"> Але й тоді Україна посіла за цим показником тільки 39 місце у світовому рейтингу (Таб.1.).</w:t>
      </w:r>
      <w:r w:rsidR="004E1529" w:rsidRPr="00BA4491">
        <w:rPr>
          <w:szCs w:val="28"/>
        </w:rPr>
        <w:t xml:space="preserve"> </w:t>
      </w:r>
    </w:p>
    <w:p w:rsidR="00300264" w:rsidRPr="00BA4491" w:rsidRDefault="00300264" w:rsidP="001537BA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 xml:space="preserve">Слід зазначити, що реальний внесок іноземного туризму </w:t>
      </w:r>
      <w:r w:rsidR="00236BBB" w:rsidRPr="00BA4491">
        <w:rPr>
          <w:szCs w:val="28"/>
        </w:rPr>
        <w:t xml:space="preserve">в бюджет країни </w:t>
      </w:r>
      <w:r w:rsidRPr="00BA4491">
        <w:rPr>
          <w:szCs w:val="28"/>
        </w:rPr>
        <w:t xml:space="preserve">краще розглядати через призму </w:t>
      </w:r>
      <w:r w:rsidR="00236BBB" w:rsidRPr="00BA4491">
        <w:rPr>
          <w:szCs w:val="28"/>
        </w:rPr>
        <w:t xml:space="preserve">її </w:t>
      </w:r>
      <w:r w:rsidRPr="00BA4491">
        <w:rPr>
          <w:szCs w:val="28"/>
        </w:rPr>
        <w:t>туристичного балансу</w:t>
      </w:r>
      <w:r w:rsidR="000779CE" w:rsidRPr="00BA4491">
        <w:rPr>
          <w:szCs w:val="28"/>
        </w:rPr>
        <w:t>, тобто співвідношення доходів і витрат в міжнародному туризмі</w:t>
      </w:r>
      <w:r w:rsidRPr="00BA4491">
        <w:rPr>
          <w:szCs w:val="28"/>
        </w:rPr>
        <w:t xml:space="preserve">. </w:t>
      </w:r>
      <w:r w:rsidR="006E14D5" w:rsidRPr="00BA4491">
        <w:rPr>
          <w:szCs w:val="28"/>
        </w:rPr>
        <w:t xml:space="preserve">На відміну від деяких </w:t>
      </w:r>
      <w:r w:rsidR="001134F8" w:rsidRPr="00BA4491">
        <w:rPr>
          <w:szCs w:val="28"/>
        </w:rPr>
        <w:t>відомих на р</w:t>
      </w:r>
      <w:r w:rsidR="001134F8" w:rsidRPr="00BA4491">
        <w:rPr>
          <w:szCs w:val="28"/>
        </w:rPr>
        <w:t>и</w:t>
      </w:r>
      <w:r w:rsidR="001134F8" w:rsidRPr="00BA4491">
        <w:rPr>
          <w:szCs w:val="28"/>
        </w:rPr>
        <w:t xml:space="preserve">нку туристичних послуг </w:t>
      </w:r>
      <w:r w:rsidR="006E14D5" w:rsidRPr="00BA4491">
        <w:rPr>
          <w:szCs w:val="28"/>
        </w:rPr>
        <w:t>країн (Німеччини, Великобританії</w:t>
      </w:r>
      <w:r w:rsidR="00771215" w:rsidRPr="00BA4491">
        <w:rPr>
          <w:szCs w:val="28"/>
        </w:rPr>
        <w:t>,</w:t>
      </w:r>
      <w:r w:rsidR="001134F8" w:rsidRPr="00BA4491">
        <w:rPr>
          <w:szCs w:val="28"/>
        </w:rPr>
        <w:t xml:space="preserve"> Японії, Росії, </w:t>
      </w:r>
      <w:r w:rsidR="00771215" w:rsidRPr="00BA4491">
        <w:rPr>
          <w:szCs w:val="28"/>
        </w:rPr>
        <w:t>а останніми роками і Китаю</w:t>
      </w:r>
      <w:r w:rsidR="000D33B8" w:rsidRPr="00BA4491">
        <w:rPr>
          <w:szCs w:val="28"/>
        </w:rPr>
        <w:t xml:space="preserve"> тощо</w:t>
      </w:r>
      <w:r w:rsidR="006E14D5" w:rsidRPr="00BA4491">
        <w:rPr>
          <w:szCs w:val="28"/>
        </w:rPr>
        <w:t>)</w:t>
      </w:r>
      <w:r w:rsidR="006F2943" w:rsidRPr="00BA4491">
        <w:rPr>
          <w:szCs w:val="28"/>
        </w:rPr>
        <w:t xml:space="preserve"> в Україні доходи від іноземного туризму п</w:t>
      </w:r>
      <w:r w:rsidR="006F2943" w:rsidRPr="00BA4491">
        <w:rPr>
          <w:szCs w:val="28"/>
        </w:rPr>
        <w:t>е</w:t>
      </w:r>
      <w:r w:rsidR="006F2943" w:rsidRPr="00BA4491">
        <w:rPr>
          <w:szCs w:val="28"/>
        </w:rPr>
        <w:t>ревищують витрати вітчизняних туристів за кордоном.</w:t>
      </w:r>
      <w:r w:rsidR="000D33B8" w:rsidRPr="00BA4491">
        <w:rPr>
          <w:szCs w:val="28"/>
        </w:rPr>
        <w:t xml:space="preserve"> </w:t>
      </w:r>
      <w:r w:rsidR="00C639F1" w:rsidRPr="00BA4491">
        <w:rPr>
          <w:szCs w:val="28"/>
        </w:rPr>
        <w:t xml:space="preserve">До початку останньої за часом глобальної економічної кризи покриття витрат в міжнародному туризмі країни сягало 130-145%. </w:t>
      </w:r>
      <w:r w:rsidR="000D33B8" w:rsidRPr="00BA4491">
        <w:rPr>
          <w:szCs w:val="28"/>
        </w:rPr>
        <w:t xml:space="preserve">Однак </w:t>
      </w:r>
      <w:r w:rsidR="00C639F1" w:rsidRPr="00BA4491">
        <w:rPr>
          <w:szCs w:val="28"/>
        </w:rPr>
        <w:t xml:space="preserve">після 2008 р. </w:t>
      </w:r>
      <w:r w:rsidR="000D33B8" w:rsidRPr="00BA4491">
        <w:rPr>
          <w:szCs w:val="28"/>
        </w:rPr>
        <w:t>це перевищення є не дуже великим</w:t>
      </w:r>
      <w:r w:rsidR="003B6987" w:rsidRPr="00BA4491">
        <w:rPr>
          <w:szCs w:val="28"/>
        </w:rPr>
        <w:t xml:space="preserve"> – від 112 до 116%</w:t>
      </w:r>
      <w:r w:rsidR="000D33B8" w:rsidRPr="00BA4491">
        <w:rPr>
          <w:szCs w:val="28"/>
        </w:rPr>
        <w:t>.</w:t>
      </w:r>
      <w:r w:rsidR="00511197" w:rsidRPr="00BA4491">
        <w:rPr>
          <w:szCs w:val="28"/>
        </w:rPr>
        <w:t xml:space="preserve"> </w:t>
      </w:r>
      <w:r w:rsidR="003B6987" w:rsidRPr="00BA4491">
        <w:rPr>
          <w:szCs w:val="28"/>
        </w:rPr>
        <w:t xml:space="preserve">Для порівняння, у США покриття витрат в міжнародному туризмі останніми роками </w:t>
      </w:r>
      <w:r w:rsidR="00035EC7" w:rsidRPr="00BA4491">
        <w:rPr>
          <w:szCs w:val="28"/>
        </w:rPr>
        <w:t xml:space="preserve">становить </w:t>
      </w:r>
      <w:r w:rsidR="003B6987" w:rsidRPr="00BA4491">
        <w:rPr>
          <w:szCs w:val="28"/>
        </w:rPr>
        <w:t>140-150</w:t>
      </w:r>
      <w:r w:rsidR="00035EC7" w:rsidRPr="00BA4491">
        <w:rPr>
          <w:szCs w:val="28"/>
        </w:rPr>
        <w:t>%</w:t>
      </w:r>
      <w:r w:rsidR="003B6987" w:rsidRPr="00BA4491">
        <w:rPr>
          <w:szCs w:val="28"/>
        </w:rPr>
        <w:t>, в Іспанії – 260-290</w:t>
      </w:r>
      <w:r w:rsidR="00035EC7" w:rsidRPr="00BA4491">
        <w:rPr>
          <w:szCs w:val="28"/>
        </w:rPr>
        <w:t xml:space="preserve">%, </w:t>
      </w:r>
      <w:r w:rsidR="00C37212" w:rsidRPr="00BA4491">
        <w:rPr>
          <w:szCs w:val="28"/>
        </w:rPr>
        <w:t xml:space="preserve">у Греції – понад 400%, в Туреччині – </w:t>
      </w:r>
      <w:r w:rsidR="00111473" w:rsidRPr="00BA4491">
        <w:rPr>
          <w:szCs w:val="28"/>
        </w:rPr>
        <w:t xml:space="preserve">перевищує </w:t>
      </w:r>
      <w:r w:rsidR="002A3DF2" w:rsidRPr="00BA4491">
        <w:rPr>
          <w:szCs w:val="28"/>
        </w:rPr>
        <w:t>500%</w:t>
      </w:r>
      <w:r w:rsidR="00806D1A" w:rsidRPr="00BA4491">
        <w:rPr>
          <w:szCs w:val="28"/>
        </w:rPr>
        <w:t xml:space="preserve"> [1]</w:t>
      </w:r>
      <w:r w:rsidR="002A3DF2" w:rsidRPr="00BA4491">
        <w:rPr>
          <w:szCs w:val="28"/>
        </w:rPr>
        <w:t>.</w:t>
      </w:r>
    </w:p>
    <w:p w:rsidR="00BD29AE" w:rsidRPr="00BA4491" w:rsidRDefault="00BD29AE" w:rsidP="001537BA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 xml:space="preserve">Зважаючи на </w:t>
      </w:r>
      <w:r w:rsidR="0023541D" w:rsidRPr="00BA4491">
        <w:rPr>
          <w:szCs w:val="28"/>
        </w:rPr>
        <w:t xml:space="preserve">співвідношення доходів та витрат, </w:t>
      </w:r>
      <w:r w:rsidRPr="00BA4491">
        <w:rPr>
          <w:szCs w:val="28"/>
        </w:rPr>
        <w:t>реальний внесок міжн</w:t>
      </w:r>
      <w:r w:rsidRPr="00BA4491">
        <w:rPr>
          <w:szCs w:val="28"/>
        </w:rPr>
        <w:t>а</w:t>
      </w:r>
      <w:r w:rsidRPr="00BA4491">
        <w:rPr>
          <w:szCs w:val="28"/>
        </w:rPr>
        <w:t xml:space="preserve">родного туризму в бюджет нашої держави </w:t>
      </w:r>
      <w:r w:rsidR="00295525" w:rsidRPr="00BA4491">
        <w:rPr>
          <w:szCs w:val="28"/>
        </w:rPr>
        <w:t xml:space="preserve">нині </w:t>
      </w:r>
      <w:r w:rsidRPr="00BA4491">
        <w:rPr>
          <w:szCs w:val="28"/>
        </w:rPr>
        <w:t xml:space="preserve">складає лише трохи більше ніж </w:t>
      </w:r>
      <w:r w:rsidRPr="00BA4491">
        <w:rPr>
          <w:szCs w:val="28"/>
        </w:rPr>
        <w:lastRenderedPageBreak/>
        <w:t xml:space="preserve">0,5 млрд. </w:t>
      </w:r>
      <w:r w:rsidR="002F38CC" w:rsidRPr="00BA4491">
        <w:rPr>
          <w:szCs w:val="28"/>
        </w:rPr>
        <w:t>дол.</w:t>
      </w:r>
      <w:r w:rsidR="00717283" w:rsidRPr="00BA4491">
        <w:rPr>
          <w:szCs w:val="28"/>
        </w:rPr>
        <w:t xml:space="preserve"> </w:t>
      </w:r>
      <w:r w:rsidRPr="00BA4491">
        <w:rPr>
          <w:szCs w:val="28"/>
        </w:rPr>
        <w:t>США.</w:t>
      </w:r>
      <w:r w:rsidR="002F38CC" w:rsidRPr="00BA4491">
        <w:rPr>
          <w:szCs w:val="28"/>
        </w:rPr>
        <w:t xml:space="preserve"> Це вкрай мало. Так, реальні доходи від міжнародного т</w:t>
      </w:r>
      <w:r w:rsidR="002F38CC" w:rsidRPr="00BA4491">
        <w:rPr>
          <w:szCs w:val="28"/>
        </w:rPr>
        <w:t>у</w:t>
      </w:r>
      <w:r w:rsidR="002F38CC" w:rsidRPr="00BA4491">
        <w:rPr>
          <w:szCs w:val="28"/>
        </w:rPr>
        <w:t xml:space="preserve">ризму у США перевищують 55-65 млрд. дол. США, в Іспанії – 35-40, </w:t>
      </w:r>
      <w:r w:rsidR="006E7A14" w:rsidRPr="00BA4491">
        <w:rPr>
          <w:szCs w:val="28"/>
        </w:rPr>
        <w:t>в Туре</w:t>
      </w:r>
      <w:r w:rsidR="006E7A14" w:rsidRPr="00BA4491">
        <w:rPr>
          <w:szCs w:val="28"/>
        </w:rPr>
        <w:t>ч</w:t>
      </w:r>
      <w:r w:rsidR="006E7A14" w:rsidRPr="00BA4491">
        <w:rPr>
          <w:szCs w:val="28"/>
        </w:rPr>
        <w:t xml:space="preserve">чині – 19-22 млрд. дол. США. </w:t>
      </w:r>
    </w:p>
    <w:p w:rsidR="00D60108" w:rsidRPr="00BA4491" w:rsidRDefault="00D60108" w:rsidP="001537BA">
      <w:pPr>
        <w:spacing w:after="0" w:line="240" w:lineRule="auto"/>
        <w:ind w:firstLine="720"/>
        <w:jc w:val="both"/>
      </w:pPr>
    </w:p>
    <w:p w:rsidR="00933DDF" w:rsidRPr="00BA4491" w:rsidRDefault="00933DDF" w:rsidP="00933DDF">
      <w:pPr>
        <w:spacing w:after="0" w:line="240" w:lineRule="auto"/>
        <w:jc w:val="center"/>
        <w:rPr>
          <w:szCs w:val="28"/>
        </w:rPr>
      </w:pPr>
      <w:r w:rsidRPr="00BA4491">
        <w:rPr>
          <w:noProof/>
          <w:szCs w:val="28"/>
          <w:lang w:eastAsia="uk-UA"/>
        </w:rPr>
        <w:drawing>
          <wp:inline distT="0" distB="0" distL="0" distR="0">
            <wp:extent cx="5961578" cy="2743200"/>
            <wp:effectExtent l="19050" t="0" r="20122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7EB1" w:rsidRPr="00BA4491" w:rsidRDefault="00D77EB1" w:rsidP="00933DDF">
      <w:pPr>
        <w:spacing w:after="0" w:line="240" w:lineRule="auto"/>
        <w:ind w:firstLine="720"/>
        <w:jc w:val="both"/>
        <w:rPr>
          <w:szCs w:val="28"/>
        </w:rPr>
      </w:pPr>
    </w:p>
    <w:p w:rsidR="00933DDF" w:rsidRPr="00BA4491" w:rsidRDefault="00933DDF" w:rsidP="00933DDF">
      <w:pPr>
        <w:spacing w:after="0" w:line="240" w:lineRule="auto"/>
        <w:ind w:firstLine="720"/>
        <w:jc w:val="both"/>
        <w:rPr>
          <w:szCs w:val="28"/>
        </w:rPr>
      </w:pPr>
      <w:bookmarkStart w:id="0" w:name="_GoBack"/>
      <w:bookmarkEnd w:id="0"/>
      <w:r w:rsidRPr="00BA4491">
        <w:rPr>
          <w:szCs w:val="28"/>
        </w:rPr>
        <w:t>Рис.2. Темпи приросту доходів від в’їзного туризму в Україні, %</w:t>
      </w:r>
    </w:p>
    <w:p w:rsidR="004E1529" w:rsidRPr="00BA4491" w:rsidRDefault="004E1529" w:rsidP="004E1529">
      <w:pPr>
        <w:spacing w:after="0" w:line="240" w:lineRule="auto"/>
        <w:ind w:firstLine="720"/>
        <w:jc w:val="center"/>
        <w:rPr>
          <w:szCs w:val="28"/>
        </w:rPr>
      </w:pPr>
      <w:r w:rsidRPr="00BA4491">
        <w:rPr>
          <w:szCs w:val="28"/>
        </w:rPr>
        <w:t>(</w:t>
      </w:r>
      <w:r w:rsidR="00390F7D" w:rsidRPr="00BA4491">
        <w:rPr>
          <w:szCs w:val="28"/>
        </w:rPr>
        <w:t xml:space="preserve">побудовано </w:t>
      </w:r>
      <w:r w:rsidRPr="00BA4491">
        <w:rPr>
          <w:szCs w:val="28"/>
        </w:rPr>
        <w:t>за даними [2])</w:t>
      </w:r>
    </w:p>
    <w:p w:rsidR="00933DDF" w:rsidRPr="00BA4491" w:rsidRDefault="00933DDF" w:rsidP="00933DDF">
      <w:pPr>
        <w:spacing w:after="0" w:line="240" w:lineRule="auto"/>
        <w:ind w:firstLine="720"/>
        <w:jc w:val="both"/>
        <w:rPr>
          <w:szCs w:val="28"/>
        </w:rPr>
      </w:pPr>
    </w:p>
    <w:p w:rsidR="00E7693B" w:rsidRPr="00BA4491" w:rsidRDefault="00E7693B" w:rsidP="00F5277F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>Причиною не дуже сприятливого туристичного балансу України не є в</w:t>
      </w:r>
      <w:r w:rsidRPr="00BA4491">
        <w:rPr>
          <w:szCs w:val="28"/>
        </w:rPr>
        <w:t>е</w:t>
      </w:r>
      <w:r w:rsidRPr="00BA4491">
        <w:rPr>
          <w:szCs w:val="28"/>
        </w:rPr>
        <w:t>ликі витрати вітчизняних туристів за кордоном, як це має місце</w:t>
      </w:r>
      <w:r w:rsidR="009D4DAB" w:rsidRPr="00BA4491">
        <w:rPr>
          <w:szCs w:val="28"/>
        </w:rPr>
        <w:t xml:space="preserve"> зокрема </w:t>
      </w:r>
      <w:r w:rsidRPr="00BA4491">
        <w:rPr>
          <w:szCs w:val="28"/>
        </w:rPr>
        <w:t xml:space="preserve">в Росії, що увійшла в провідну світову десятку за витратами </w:t>
      </w:r>
      <w:r w:rsidR="00AA5442" w:rsidRPr="00BA4491">
        <w:rPr>
          <w:szCs w:val="28"/>
        </w:rPr>
        <w:t xml:space="preserve">в міжнародному </w:t>
      </w:r>
      <w:r w:rsidRPr="00BA4491">
        <w:rPr>
          <w:szCs w:val="28"/>
        </w:rPr>
        <w:t>туризм</w:t>
      </w:r>
      <w:r w:rsidR="00AA5442" w:rsidRPr="00BA4491">
        <w:rPr>
          <w:szCs w:val="28"/>
        </w:rPr>
        <w:t>і</w:t>
      </w:r>
      <w:r w:rsidRPr="00BA4491">
        <w:rPr>
          <w:szCs w:val="28"/>
        </w:rPr>
        <w:t>. За витратами на виїзний туризм Україна з 1995 р. не піднімалася вище 37 місця у світовому рейтингу. Б</w:t>
      </w:r>
      <w:r w:rsidR="00F5277F" w:rsidRPr="00BA4491">
        <w:rPr>
          <w:szCs w:val="28"/>
        </w:rPr>
        <w:t>ільш ніж скромні доходи України від міжнародному т</w:t>
      </w:r>
      <w:r w:rsidR="00F5277F" w:rsidRPr="00BA4491">
        <w:rPr>
          <w:szCs w:val="28"/>
        </w:rPr>
        <w:t>у</w:t>
      </w:r>
      <w:r w:rsidR="00F5277F" w:rsidRPr="00BA4491">
        <w:rPr>
          <w:szCs w:val="28"/>
        </w:rPr>
        <w:t>ризму, з огляду на зазначені вище місця у світовому рейтингу за обсягом тури</w:t>
      </w:r>
      <w:r w:rsidR="00F5277F" w:rsidRPr="00BA4491">
        <w:rPr>
          <w:szCs w:val="28"/>
        </w:rPr>
        <w:t>с</w:t>
      </w:r>
      <w:r w:rsidR="00F5277F" w:rsidRPr="00BA4491">
        <w:rPr>
          <w:szCs w:val="28"/>
        </w:rPr>
        <w:t>тичними прибуттями</w:t>
      </w:r>
      <w:r w:rsidR="00251306" w:rsidRPr="00BA4491">
        <w:rPr>
          <w:szCs w:val="28"/>
        </w:rPr>
        <w:t xml:space="preserve">, </w:t>
      </w:r>
      <w:r w:rsidRPr="00BA4491">
        <w:rPr>
          <w:szCs w:val="28"/>
        </w:rPr>
        <w:t xml:space="preserve">можна пояснити недосконалістю методики </w:t>
      </w:r>
      <w:r w:rsidRPr="00BA4491">
        <w:rPr>
          <w:rFonts w:eastAsia="Calibri" w:cs="Times New Roman"/>
          <w:szCs w:val="28"/>
        </w:rPr>
        <w:t>обліку тури</w:t>
      </w:r>
      <w:r w:rsidRPr="00BA4491">
        <w:rPr>
          <w:rFonts w:eastAsia="Calibri" w:cs="Times New Roman"/>
          <w:szCs w:val="28"/>
        </w:rPr>
        <w:t>с</w:t>
      </w:r>
      <w:r w:rsidRPr="00BA4491">
        <w:rPr>
          <w:rFonts w:eastAsia="Calibri" w:cs="Times New Roman"/>
          <w:szCs w:val="28"/>
        </w:rPr>
        <w:t>тичних потоків</w:t>
      </w:r>
      <w:r w:rsidRPr="00BA4491">
        <w:rPr>
          <w:szCs w:val="28"/>
        </w:rPr>
        <w:t xml:space="preserve">, що прямують до України </w:t>
      </w:r>
      <w:r w:rsidRPr="00BA4491">
        <w:rPr>
          <w:szCs w:val="28"/>
          <w:lang w:val="ru-RU"/>
        </w:rPr>
        <w:t xml:space="preserve">[3]. </w:t>
      </w:r>
    </w:p>
    <w:p w:rsidR="003A11B4" w:rsidRPr="00BA4491" w:rsidRDefault="00D21395" w:rsidP="003A11B4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>Варто зауважити, що з 2004 р. Україна змінила статус країни-донора на статус країни-реципієнта. У 2008 р. різниця між обсягами в’їзного і виїзного туризму становила близько 10 млн. на користь першого. Однак, останніми р</w:t>
      </w:r>
      <w:r w:rsidRPr="00BA4491">
        <w:rPr>
          <w:szCs w:val="28"/>
        </w:rPr>
        <w:t>о</w:t>
      </w:r>
      <w:r w:rsidRPr="00BA4491">
        <w:rPr>
          <w:szCs w:val="28"/>
        </w:rPr>
        <w:t>ками спостерігається деяке пожвавлення виїзного туризму. І це відбувається на тлі чітко вираженого падіння темпів приросту туристичних прибуттів і доходів від в’їзного туризму в Україні. Якщо подібні тенденції не зміняться, то на</w:t>
      </w:r>
      <w:r w:rsidRPr="00BA4491">
        <w:rPr>
          <w:szCs w:val="28"/>
        </w:rPr>
        <w:t>й</w:t>
      </w:r>
      <w:r w:rsidRPr="00BA4491">
        <w:rPr>
          <w:szCs w:val="28"/>
        </w:rPr>
        <w:t>ближчим часом, внаслідок зростаючого вивезення валюти за кордон вітчизн</w:t>
      </w:r>
      <w:r w:rsidRPr="00BA4491">
        <w:rPr>
          <w:szCs w:val="28"/>
        </w:rPr>
        <w:t>я</w:t>
      </w:r>
      <w:r w:rsidRPr="00BA4491">
        <w:rPr>
          <w:szCs w:val="28"/>
        </w:rPr>
        <w:t>ними туристами, внесок міжнародного туризму до бюджету України може вп</w:t>
      </w:r>
      <w:r w:rsidRPr="00BA4491">
        <w:rPr>
          <w:szCs w:val="28"/>
        </w:rPr>
        <w:t>а</w:t>
      </w:r>
      <w:r w:rsidRPr="00BA4491">
        <w:rPr>
          <w:szCs w:val="28"/>
        </w:rPr>
        <w:t>сти взагалі до нуля.</w:t>
      </w:r>
    </w:p>
    <w:p w:rsidR="00F85EF2" w:rsidRPr="00BA4491" w:rsidRDefault="000B00B1" w:rsidP="00C77CB1">
      <w:pPr>
        <w:spacing w:after="0" w:line="240" w:lineRule="auto"/>
        <w:ind w:firstLine="720"/>
        <w:jc w:val="both"/>
        <w:rPr>
          <w:szCs w:val="28"/>
        </w:rPr>
      </w:pPr>
      <w:r w:rsidRPr="00BA4491">
        <w:rPr>
          <w:szCs w:val="28"/>
        </w:rPr>
        <w:t>Одна з проблем, що стоїть на заваді успішному розвиткові туризму в Україні добре відома – це</w:t>
      </w:r>
      <w:r w:rsidR="009567B9" w:rsidRPr="00BA4491">
        <w:rPr>
          <w:szCs w:val="28"/>
        </w:rPr>
        <w:t xml:space="preserve"> погана інфраструктура. Так, за </w:t>
      </w:r>
      <w:r w:rsidR="00F85EF2" w:rsidRPr="00BA4491">
        <w:rPr>
          <w:szCs w:val="28"/>
        </w:rPr>
        <w:t xml:space="preserve">якістю </w:t>
      </w:r>
      <w:r w:rsidR="009567B9" w:rsidRPr="00BA4491">
        <w:rPr>
          <w:szCs w:val="28"/>
        </w:rPr>
        <w:t xml:space="preserve">доріг </w:t>
      </w:r>
      <w:r w:rsidR="00F85EF2" w:rsidRPr="00BA4491">
        <w:rPr>
          <w:szCs w:val="28"/>
        </w:rPr>
        <w:t xml:space="preserve">Україна </w:t>
      </w:r>
      <w:r w:rsidR="009567B9" w:rsidRPr="00BA4491">
        <w:rPr>
          <w:szCs w:val="28"/>
        </w:rPr>
        <w:t xml:space="preserve">наша країна пасе задніх і у 2013 р.  посіла у світовому рейтингу аж 135-е місце зі 140 країн світу. </w:t>
      </w:r>
      <w:r w:rsidR="008C52DF" w:rsidRPr="00BA4491">
        <w:rPr>
          <w:szCs w:val="28"/>
        </w:rPr>
        <w:t xml:space="preserve">Не втішні оцінки </w:t>
      </w:r>
      <w:r w:rsidR="00674644" w:rsidRPr="00BA4491">
        <w:rPr>
          <w:szCs w:val="28"/>
        </w:rPr>
        <w:t>й</w:t>
      </w:r>
      <w:r w:rsidR="008C52DF" w:rsidRPr="00BA4491">
        <w:rPr>
          <w:szCs w:val="28"/>
        </w:rPr>
        <w:t xml:space="preserve"> інфраструктури </w:t>
      </w:r>
      <w:r w:rsidR="00674644" w:rsidRPr="00BA4491">
        <w:rPr>
          <w:szCs w:val="28"/>
        </w:rPr>
        <w:t>портів (7</w:t>
      </w:r>
      <w:r w:rsidR="00365476" w:rsidRPr="00BA4491">
        <w:rPr>
          <w:szCs w:val="28"/>
        </w:rPr>
        <w:t>4</w:t>
      </w:r>
      <w:r w:rsidR="00674644" w:rsidRPr="00BA4491">
        <w:rPr>
          <w:szCs w:val="28"/>
        </w:rPr>
        <w:t xml:space="preserve">-е місце) </w:t>
      </w:r>
      <w:r w:rsidR="00D735D8" w:rsidRPr="00BA4491">
        <w:rPr>
          <w:szCs w:val="28"/>
        </w:rPr>
        <w:t>та а</w:t>
      </w:r>
      <w:r w:rsidR="00D735D8" w:rsidRPr="00BA4491">
        <w:rPr>
          <w:szCs w:val="28"/>
        </w:rPr>
        <w:t>е</w:t>
      </w:r>
      <w:r w:rsidR="00D735D8" w:rsidRPr="00BA4491">
        <w:rPr>
          <w:szCs w:val="28"/>
        </w:rPr>
        <w:t xml:space="preserve">ропортів (85-е місце). На цьому тлі оцінка якості інфраструктури </w:t>
      </w:r>
      <w:r w:rsidR="00674644" w:rsidRPr="00BA4491">
        <w:rPr>
          <w:szCs w:val="28"/>
        </w:rPr>
        <w:t xml:space="preserve">залізниць </w:t>
      </w:r>
      <w:r w:rsidR="00D735D8" w:rsidRPr="00BA4491">
        <w:rPr>
          <w:szCs w:val="28"/>
        </w:rPr>
        <w:t>в</w:t>
      </w:r>
      <w:r w:rsidR="00D735D8" w:rsidRPr="00BA4491">
        <w:rPr>
          <w:szCs w:val="28"/>
        </w:rPr>
        <w:t>и</w:t>
      </w:r>
      <w:r w:rsidR="00D735D8" w:rsidRPr="00BA4491">
        <w:rPr>
          <w:szCs w:val="28"/>
        </w:rPr>
        <w:t xml:space="preserve">глядає ледь не успіхом – </w:t>
      </w:r>
      <w:r w:rsidR="00674644" w:rsidRPr="00BA4491">
        <w:rPr>
          <w:szCs w:val="28"/>
        </w:rPr>
        <w:t>24</w:t>
      </w:r>
      <w:r w:rsidR="00D735D8" w:rsidRPr="00BA4491">
        <w:rPr>
          <w:szCs w:val="28"/>
        </w:rPr>
        <w:t>-</w:t>
      </w:r>
      <w:r w:rsidR="001D2EF3" w:rsidRPr="00BA4491">
        <w:rPr>
          <w:szCs w:val="28"/>
        </w:rPr>
        <w:t>е</w:t>
      </w:r>
      <w:r w:rsidR="00D735D8" w:rsidRPr="00BA4491">
        <w:rPr>
          <w:szCs w:val="28"/>
        </w:rPr>
        <w:t xml:space="preserve"> місце</w:t>
      </w:r>
      <w:r w:rsidR="00674644" w:rsidRPr="00BA4491">
        <w:rPr>
          <w:szCs w:val="28"/>
        </w:rPr>
        <w:t>.</w:t>
      </w:r>
      <w:r w:rsidR="00C52F62" w:rsidRPr="00BA4491">
        <w:rPr>
          <w:szCs w:val="28"/>
        </w:rPr>
        <w:t xml:space="preserve"> Ще однією важливою складовою інфр</w:t>
      </w:r>
      <w:r w:rsidR="00C52F62" w:rsidRPr="00BA4491">
        <w:rPr>
          <w:szCs w:val="28"/>
        </w:rPr>
        <w:t>а</w:t>
      </w:r>
      <w:r w:rsidR="00C52F62" w:rsidRPr="00BA4491">
        <w:rPr>
          <w:szCs w:val="28"/>
        </w:rPr>
        <w:lastRenderedPageBreak/>
        <w:t>структури є заклади розміщення. Порівняння номерного фонду (кількості кі</w:t>
      </w:r>
      <w:r w:rsidR="00C52F62" w:rsidRPr="00BA4491">
        <w:rPr>
          <w:szCs w:val="28"/>
        </w:rPr>
        <w:t>м</w:t>
      </w:r>
      <w:r w:rsidR="00C52F62" w:rsidRPr="00BA4491">
        <w:rPr>
          <w:szCs w:val="28"/>
        </w:rPr>
        <w:t>нат) України з таким у провідних туристичних країнах світу вочевидь висві</w:t>
      </w:r>
      <w:r w:rsidR="00C52F62" w:rsidRPr="00BA4491">
        <w:rPr>
          <w:szCs w:val="28"/>
        </w:rPr>
        <w:t>т</w:t>
      </w:r>
      <w:r w:rsidR="00C52F62" w:rsidRPr="00BA4491">
        <w:rPr>
          <w:szCs w:val="28"/>
        </w:rPr>
        <w:t>лює кількісний аспект цієї проблеми (Рис.3.).</w:t>
      </w:r>
      <w:r w:rsidR="007B7B1B" w:rsidRPr="00BA4491">
        <w:rPr>
          <w:szCs w:val="28"/>
        </w:rPr>
        <w:t xml:space="preserve"> Як наслідок, тільки </w:t>
      </w:r>
      <w:r w:rsidR="00365476" w:rsidRPr="00BA4491">
        <w:rPr>
          <w:szCs w:val="28"/>
        </w:rPr>
        <w:t>94</w:t>
      </w:r>
      <w:r w:rsidR="007B7B1B" w:rsidRPr="00BA4491">
        <w:rPr>
          <w:szCs w:val="28"/>
        </w:rPr>
        <w:t xml:space="preserve">-е місце України за цим показником </w:t>
      </w:r>
      <w:r w:rsidR="00760079" w:rsidRPr="00BA4491">
        <w:rPr>
          <w:szCs w:val="28"/>
        </w:rPr>
        <w:t>у світовому рейтингу</w:t>
      </w:r>
      <w:r w:rsidR="00850C66" w:rsidRPr="00BA4491">
        <w:rPr>
          <w:szCs w:val="28"/>
        </w:rPr>
        <w:t xml:space="preserve"> </w:t>
      </w:r>
      <w:r w:rsidR="00850C66" w:rsidRPr="00BA4491">
        <w:rPr>
          <w:szCs w:val="28"/>
          <w:lang w:val="ru-RU"/>
        </w:rPr>
        <w:t>[4]</w:t>
      </w:r>
      <w:r w:rsidR="00760079" w:rsidRPr="00BA4491">
        <w:rPr>
          <w:szCs w:val="28"/>
        </w:rPr>
        <w:t>.</w:t>
      </w:r>
    </w:p>
    <w:p w:rsidR="00FC4A0E" w:rsidRPr="00BA4491" w:rsidRDefault="00FC4A0E" w:rsidP="00C77CB1">
      <w:pPr>
        <w:spacing w:after="0" w:line="240" w:lineRule="auto"/>
        <w:ind w:firstLine="720"/>
        <w:jc w:val="both"/>
        <w:rPr>
          <w:szCs w:val="28"/>
        </w:rPr>
      </w:pPr>
    </w:p>
    <w:p w:rsidR="00820A3C" w:rsidRPr="00BA4491" w:rsidRDefault="006A070E" w:rsidP="00820A3C">
      <w:pPr>
        <w:tabs>
          <w:tab w:val="left" w:pos="851"/>
        </w:tabs>
        <w:jc w:val="both"/>
        <w:rPr>
          <w:szCs w:val="28"/>
        </w:rPr>
      </w:pPr>
      <w:r w:rsidRPr="00BA4491">
        <w:rPr>
          <w:noProof/>
          <w:szCs w:val="28"/>
          <w:lang w:eastAsia="uk-UA"/>
        </w:rPr>
        <w:drawing>
          <wp:inline distT="0" distB="0" distL="0" distR="0">
            <wp:extent cx="5943600" cy="3609974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0A3C" w:rsidRPr="00BA4491" w:rsidRDefault="00820A3C" w:rsidP="001273D4">
      <w:pPr>
        <w:tabs>
          <w:tab w:val="left" w:pos="851"/>
        </w:tabs>
        <w:spacing w:after="0" w:line="240" w:lineRule="auto"/>
        <w:jc w:val="center"/>
        <w:rPr>
          <w:szCs w:val="28"/>
        </w:rPr>
      </w:pPr>
      <w:r w:rsidRPr="00BA4491">
        <w:rPr>
          <w:szCs w:val="28"/>
        </w:rPr>
        <w:t xml:space="preserve">Рис. 3. Номерний фонд країн – найпопулярніших туристичних дестинацій </w:t>
      </w:r>
    </w:p>
    <w:p w:rsidR="00425A5F" w:rsidRPr="00BA4491" w:rsidRDefault="001273D4" w:rsidP="00CB5D2A">
      <w:pPr>
        <w:spacing w:after="0" w:line="240" w:lineRule="auto"/>
        <w:jc w:val="both"/>
        <w:rPr>
          <w:szCs w:val="28"/>
        </w:rPr>
      </w:pPr>
      <w:r w:rsidRPr="00BA4491">
        <w:rPr>
          <w:szCs w:val="28"/>
        </w:rPr>
        <w:t xml:space="preserve">                                            (побудовано за даними [1]</w:t>
      </w:r>
    </w:p>
    <w:p w:rsidR="00425A5F" w:rsidRPr="00BA4491" w:rsidRDefault="00425A5F" w:rsidP="001537BA">
      <w:pPr>
        <w:spacing w:after="0" w:line="240" w:lineRule="auto"/>
        <w:ind w:firstLine="720"/>
        <w:jc w:val="both"/>
        <w:rPr>
          <w:szCs w:val="28"/>
        </w:rPr>
      </w:pPr>
    </w:p>
    <w:p w:rsidR="00F01EC3" w:rsidRPr="00BA4491" w:rsidRDefault="00B67DF7" w:rsidP="00F01EC3">
      <w:pPr>
        <w:spacing w:after="0" w:line="240" w:lineRule="auto"/>
        <w:ind w:firstLine="720"/>
        <w:jc w:val="both"/>
        <w:rPr>
          <w:szCs w:val="28"/>
          <w:lang w:val="ru-RU"/>
        </w:rPr>
      </w:pPr>
      <w:r w:rsidRPr="00BA4491">
        <w:rPr>
          <w:szCs w:val="28"/>
        </w:rPr>
        <w:t>Н</w:t>
      </w:r>
      <w:r w:rsidR="00760079" w:rsidRPr="00BA4491">
        <w:rPr>
          <w:szCs w:val="28"/>
        </w:rPr>
        <w:t>а</w:t>
      </w:r>
      <w:r w:rsidRPr="00BA4491">
        <w:rPr>
          <w:szCs w:val="28"/>
        </w:rPr>
        <w:t>в</w:t>
      </w:r>
      <w:r w:rsidR="00760079" w:rsidRPr="00BA4491">
        <w:rPr>
          <w:szCs w:val="28"/>
        </w:rPr>
        <w:t>еден</w:t>
      </w:r>
      <w:r w:rsidRPr="00BA4491">
        <w:rPr>
          <w:szCs w:val="28"/>
        </w:rPr>
        <w:t>і</w:t>
      </w:r>
      <w:r w:rsidR="00760079" w:rsidRPr="00BA4491">
        <w:rPr>
          <w:szCs w:val="28"/>
        </w:rPr>
        <w:t xml:space="preserve"> </w:t>
      </w:r>
      <w:r w:rsidRPr="00BA4491">
        <w:rPr>
          <w:szCs w:val="28"/>
        </w:rPr>
        <w:t xml:space="preserve">негативні </w:t>
      </w:r>
      <w:r w:rsidR="00760079" w:rsidRPr="00BA4491">
        <w:rPr>
          <w:szCs w:val="28"/>
        </w:rPr>
        <w:t>факти</w:t>
      </w:r>
      <w:r w:rsidRPr="00BA4491">
        <w:rPr>
          <w:szCs w:val="28"/>
        </w:rPr>
        <w:t xml:space="preserve"> (перелік їх, на жаль, далеко не повний)</w:t>
      </w:r>
      <w:r w:rsidR="00C2630A" w:rsidRPr="00BA4491">
        <w:rPr>
          <w:szCs w:val="28"/>
        </w:rPr>
        <w:t xml:space="preserve"> безум</w:t>
      </w:r>
      <w:r w:rsidR="00C2630A" w:rsidRPr="00BA4491">
        <w:rPr>
          <w:szCs w:val="28"/>
        </w:rPr>
        <w:t>о</w:t>
      </w:r>
      <w:r w:rsidR="00C2630A" w:rsidRPr="00BA4491">
        <w:rPr>
          <w:szCs w:val="28"/>
        </w:rPr>
        <w:t>вно з</w:t>
      </w:r>
      <w:r w:rsidR="00760079" w:rsidRPr="00BA4491">
        <w:rPr>
          <w:szCs w:val="28"/>
        </w:rPr>
        <w:t xml:space="preserve">нижують </w:t>
      </w:r>
      <w:r w:rsidR="005C151E" w:rsidRPr="00BA4491">
        <w:rPr>
          <w:szCs w:val="28"/>
        </w:rPr>
        <w:t xml:space="preserve">конкурентоздатність України </w:t>
      </w:r>
      <w:r w:rsidR="002F38F2" w:rsidRPr="00BA4491">
        <w:rPr>
          <w:szCs w:val="28"/>
        </w:rPr>
        <w:t>як туристичної держави</w:t>
      </w:r>
      <w:r w:rsidR="005C151E" w:rsidRPr="00BA4491">
        <w:rPr>
          <w:szCs w:val="28"/>
        </w:rPr>
        <w:t xml:space="preserve">. </w:t>
      </w:r>
      <w:r w:rsidR="00760079" w:rsidRPr="00BA4491">
        <w:rPr>
          <w:szCs w:val="28"/>
        </w:rPr>
        <w:t>За цим показником в 201</w:t>
      </w:r>
      <w:r w:rsidR="00333B2A" w:rsidRPr="00BA4491">
        <w:rPr>
          <w:szCs w:val="28"/>
        </w:rPr>
        <w:t>3</w:t>
      </w:r>
      <w:r w:rsidR="00760079" w:rsidRPr="00BA4491">
        <w:rPr>
          <w:szCs w:val="28"/>
        </w:rPr>
        <w:t xml:space="preserve"> р. Україн</w:t>
      </w:r>
      <w:r w:rsidR="002F38F2" w:rsidRPr="00BA4491">
        <w:rPr>
          <w:szCs w:val="28"/>
        </w:rPr>
        <w:t>а</w:t>
      </w:r>
      <w:r w:rsidR="00760079" w:rsidRPr="00BA4491">
        <w:rPr>
          <w:szCs w:val="28"/>
        </w:rPr>
        <w:t xml:space="preserve"> </w:t>
      </w:r>
      <w:r w:rsidR="00333B2A" w:rsidRPr="00BA4491">
        <w:rPr>
          <w:szCs w:val="28"/>
        </w:rPr>
        <w:t>розташувалася на 76-у</w:t>
      </w:r>
      <w:r w:rsidR="00760079" w:rsidRPr="00BA4491">
        <w:rPr>
          <w:szCs w:val="28"/>
        </w:rPr>
        <w:t xml:space="preserve"> місц</w:t>
      </w:r>
      <w:r w:rsidR="00333B2A" w:rsidRPr="00BA4491">
        <w:rPr>
          <w:szCs w:val="28"/>
        </w:rPr>
        <w:t xml:space="preserve">і, </w:t>
      </w:r>
      <w:r w:rsidR="00D16A57" w:rsidRPr="00BA4491">
        <w:rPr>
          <w:szCs w:val="28"/>
        </w:rPr>
        <w:t>поступившись зо</w:t>
      </w:r>
      <w:r w:rsidR="00D16A57" w:rsidRPr="00BA4491">
        <w:rPr>
          <w:szCs w:val="28"/>
        </w:rPr>
        <w:t>к</w:t>
      </w:r>
      <w:r w:rsidR="00D16A57" w:rsidRPr="00BA4491">
        <w:rPr>
          <w:szCs w:val="28"/>
        </w:rPr>
        <w:t xml:space="preserve">рема </w:t>
      </w:r>
      <w:r w:rsidR="00412F5C" w:rsidRPr="00BA4491">
        <w:rPr>
          <w:szCs w:val="28"/>
        </w:rPr>
        <w:t xml:space="preserve">Перу, Брунею, Румунії,  Росії, </w:t>
      </w:r>
      <w:r w:rsidR="00B92FAF" w:rsidRPr="00BA4491">
        <w:rPr>
          <w:szCs w:val="28"/>
        </w:rPr>
        <w:t xml:space="preserve">Уругваю тощо. </w:t>
      </w:r>
      <w:r w:rsidR="007D662E" w:rsidRPr="00BA4491">
        <w:rPr>
          <w:szCs w:val="28"/>
        </w:rPr>
        <w:t xml:space="preserve">На превеликий жаль, навіть у Європі наша країна за конкурентоздатністю на ринку туристичних послуг </w:t>
      </w:r>
      <w:r w:rsidR="002F38F2" w:rsidRPr="00BA4491">
        <w:rPr>
          <w:szCs w:val="28"/>
        </w:rPr>
        <w:t>п</w:t>
      </w:r>
      <w:r w:rsidR="002F38F2" w:rsidRPr="00BA4491">
        <w:rPr>
          <w:szCs w:val="28"/>
        </w:rPr>
        <w:t>о</w:t>
      </w:r>
      <w:r w:rsidR="002F38F2" w:rsidRPr="00BA4491">
        <w:rPr>
          <w:szCs w:val="28"/>
        </w:rPr>
        <w:t xml:space="preserve">сіла </w:t>
      </w:r>
      <w:r w:rsidR="007D662E" w:rsidRPr="00BA4491">
        <w:rPr>
          <w:szCs w:val="28"/>
        </w:rPr>
        <w:t>лише 3</w:t>
      </w:r>
      <w:r w:rsidR="00412F5C" w:rsidRPr="00BA4491">
        <w:rPr>
          <w:szCs w:val="28"/>
        </w:rPr>
        <w:t>7</w:t>
      </w:r>
      <w:r w:rsidR="007D662E" w:rsidRPr="00BA4491">
        <w:rPr>
          <w:szCs w:val="28"/>
        </w:rPr>
        <w:t xml:space="preserve">-е місце серед 42-х! Вдалося випередити тільки </w:t>
      </w:r>
      <w:r w:rsidR="00412F5C" w:rsidRPr="00BA4491">
        <w:rPr>
          <w:szCs w:val="28"/>
        </w:rPr>
        <w:t xml:space="preserve">Албанію, </w:t>
      </w:r>
      <w:r w:rsidR="007D662E" w:rsidRPr="00BA4491">
        <w:rPr>
          <w:szCs w:val="28"/>
        </w:rPr>
        <w:t>Вірм</w:t>
      </w:r>
      <w:r w:rsidR="007D662E" w:rsidRPr="00BA4491">
        <w:rPr>
          <w:szCs w:val="28"/>
        </w:rPr>
        <w:t>е</w:t>
      </w:r>
      <w:r w:rsidR="007D662E" w:rsidRPr="00BA4491">
        <w:rPr>
          <w:szCs w:val="28"/>
        </w:rPr>
        <w:t xml:space="preserve">нію, </w:t>
      </w:r>
      <w:r w:rsidR="00412F5C" w:rsidRPr="00BA4491">
        <w:rPr>
          <w:szCs w:val="28"/>
        </w:rPr>
        <w:t xml:space="preserve">Сербію, </w:t>
      </w:r>
      <w:r w:rsidR="007D662E" w:rsidRPr="00BA4491">
        <w:rPr>
          <w:szCs w:val="28"/>
        </w:rPr>
        <w:t xml:space="preserve">Боснію та Герцеговину і Молдову. </w:t>
      </w:r>
      <w:r w:rsidR="009C3023" w:rsidRPr="00BA4491">
        <w:rPr>
          <w:szCs w:val="28"/>
        </w:rPr>
        <w:t>Зауважимо, що у даному ре</w:t>
      </w:r>
      <w:r w:rsidR="009C3023" w:rsidRPr="00BA4491">
        <w:rPr>
          <w:szCs w:val="28"/>
        </w:rPr>
        <w:t>й</w:t>
      </w:r>
      <w:r w:rsidR="009C3023" w:rsidRPr="00BA4491">
        <w:rPr>
          <w:szCs w:val="28"/>
        </w:rPr>
        <w:t>тингу враховувалися діяльність регулюючих структур, бізнес-середовище, і</w:t>
      </w:r>
      <w:r w:rsidR="009C3023" w:rsidRPr="00BA4491">
        <w:rPr>
          <w:szCs w:val="28"/>
        </w:rPr>
        <w:t>н</w:t>
      </w:r>
      <w:r w:rsidR="009C3023" w:rsidRPr="00BA4491">
        <w:rPr>
          <w:szCs w:val="28"/>
        </w:rPr>
        <w:t>фраструктура, а також ресурси (людські, культурні, природні).</w:t>
      </w:r>
      <w:r w:rsidR="00850C66" w:rsidRPr="00BA4491">
        <w:rPr>
          <w:szCs w:val="28"/>
          <w:lang w:val="ru-RU"/>
        </w:rPr>
        <w:t xml:space="preserve"> [4]</w:t>
      </w:r>
      <w:r w:rsidR="00850C66" w:rsidRPr="00BA4491">
        <w:rPr>
          <w:szCs w:val="28"/>
        </w:rPr>
        <w:t>.</w:t>
      </w:r>
    </w:p>
    <w:p w:rsidR="00B56E8B" w:rsidRPr="00BA4491" w:rsidRDefault="00F01EC3" w:rsidP="001137E5">
      <w:pPr>
        <w:spacing w:after="0" w:line="240" w:lineRule="auto"/>
        <w:ind w:firstLine="720"/>
        <w:jc w:val="both"/>
        <w:rPr>
          <w:bCs/>
          <w:iCs/>
          <w:szCs w:val="28"/>
        </w:rPr>
      </w:pPr>
      <w:r w:rsidRPr="00BA4491">
        <w:rPr>
          <w:bCs/>
          <w:i/>
          <w:iCs/>
          <w:szCs w:val="28"/>
        </w:rPr>
        <w:t>Результати</w:t>
      </w:r>
      <w:r w:rsidRPr="00BA4491">
        <w:rPr>
          <w:i/>
          <w:szCs w:val="28"/>
        </w:rPr>
        <w:t xml:space="preserve"> та висновки  дослідження</w:t>
      </w:r>
      <w:r w:rsidR="00A12607" w:rsidRPr="00BA4491">
        <w:rPr>
          <w:i/>
          <w:szCs w:val="28"/>
        </w:rPr>
        <w:t xml:space="preserve">. </w:t>
      </w:r>
      <w:r w:rsidR="000D2A6A" w:rsidRPr="00BA4491">
        <w:rPr>
          <w:szCs w:val="28"/>
        </w:rPr>
        <w:t xml:space="preserve">Аналіз сучасного стану туризму в Україні дозволяє стверджувати про наявність негативних тенденцій, </w:t>
      </w:r>
      <w:r w:rsidR="007F3719" w:rsidRPr="00BA4491">
        <w:rPr>
          <w:szCs w:val="28"/>
        </w:rPr>
        <w:t xml:space="preserve">лише </w:t>
      </w:r>
      <w:r w:rsidR="00A5721B" w:rsidRPr="00BA4491">
        <w:rPr>
          <w:szCs w:val="28"/>
        </w:rPr>
        <w:t>ус</w:t>
      </w:r>
      <w:r w:rsidR="00A5721B" w:rsidRPr="00BA4491">
        <w:rPr>
          <w:szCs w:val="28"/>
        </w:rPr>
        <w:t>у</w:t>
      </w:r>
      <w:r w:rsidR="00A5721B" w:rsidRPr="00BA4491">
        <w:rPr>
          <w:szCs w:val="28"/>
        </w:rPr>
        <w:t xml:space="preserve">нення </w:t>
      </w:r>
      <w:r w:rsidR="007F3719" w:rsidRPr="00BA4491">
        <w:rPr>
          <w:szCs w:val="28"/>
        </w:rPr>
        <w:t xml:space="preserve">яких дозволить </w:t>
      </w:r>
      <w:r w:rsidR="00B87F24">
        <w:rPr>
          <w:szCs w:val="28"/>
        </w:rPr>
        <w:t>сподіватися</w:t>
      </w:r>
      <w:r w:rsidR="007F3719" w:rsidRPr="00BA4491">
        <w:rPr>
          <w:szCs w:val="28"/>
        </w:rPr>
        <w:t xml:space="preserve"> </w:t>
      </w:r>
      <w:r w:rsidR="00B87F24">
        <w:rPr>
          <w:szCs w:val="28"/>
        </w:rPr>
        <w:t xml:space="preserve">на </w:t>
      </w:r>
      <w:r w:rsidR="000D2A6A" w:rsidRPr="00BA4491">
        <w:rPr>
          <w:szCs w:val="28"/>
        </w:rPr>
        <w:t xml:space="preserve">перспективи його подальшого належного розвитку. </w:t>
      </w:r>
      <w:r w:rsidR="00E24313" w:rsidRPr="00BA4491">
        <w:rPr>
          <w:bCs/>
          <w:iCs/>
          <w:szCs w:val="28"/>
        </w:rPr>
        <w:t xml:space="preserve">Зазначені </w:t>
      </w:r>
      <w:r w:rsidR="000D2A6A" w:rsidRPr="00BA4491">
        <w:rPr>
          <w:bCs/>
          <w:iCs/>
          <w:szCs w:val="28"/>
        </w:rPr>
        <w:t>тенденці</w:t>
      </w:r>
      <w:r w:rsidR="00E24313" w:rsidRPr="00BA4491">
        <w:rPr>
          <w:bCs/>
          <w:iCs/>
          <w:szCs w:val="28"/>
        </w:rPr>
        <w:t>ї</w:t>
      </w:r>
      <w:r w:rsidR="000D2A6A" w:rsidRPr="00BA4491">
        <w:rPr>
          <w:bCs/>
          <w:iCs/>
          <w:szCs w:val="28"/>
        </w:rPr>
        <w:t xml:space="preserve"> і </w:t>
      </w:r>
      <w:r w:rsidR="00E24313" w:rsidRPr="00BA4491">
        <w:rPr>
          <w:bCs/>
          <w:iCs/>
          <w:szCs w:val="28"/>
        </w:rPr>
        <w:t>невисока</w:t>
      </w:r>
      <w:r w:rsidR="000D2A6A" w:rsidRPr="00BA4491">
        <w:rPr>
          <w:bCs/>
          <w:iCs/>
          <w:szCs w:val="28"/>
        </w:rPr>
        <w:t xml:space="preserve"> конкурентоспроможн</w:t>
      </w:r>
      <w:r w:rsidR="00E24313" w:rsidRPr="00BA4491">
        <w:rPr>
          <w:bCs/>
          <w:iCs/>
          <w:szCs w:val="28"/>
        </w:rPr>
        <w:t>і</w:t>
      </w:r>
      <w:r w:rsidR="000D2A6A" w:rsidRPr="00BA4491">
        <w:rPr>
          <w:bCs/>
          <w:iCs/>
          <w:szCs w:val="28"/>
        </w:rPr>
        <w:t>ст</w:t>
      </w:r>
      <w:r w:rsidR="00E24313" w:rsidRPr="00BA4491">
        <w:rPr>
          <w:bCs/>
          <w:iCs/>
          <w:szCs w:val="28"/>
        </w:rPr>
        <w:t>ь</w:t>
      </w:r>
      <w:r w:rsidR="000D2A6A" w:rsidRPr="00BA4491">
        <w:rPr>
          <w:bCs/>
          <w:iCs/>
          <w:szCs w:val="28"/>
        </w:rPr>
        <w:t xml:space="preserve"> України на ринку туристичних послуг зумовлені цілою низкою чинників. </w:t>
      </w:r>
      <w:r w:rsidR="00B56E8B" w:rsidRPr="00BA4491">
        <w:rPr>
          <w:bCs/>
          <w:iCs/>
          <w:szCs w:val="28"/>
        </w:rPr>
        <w:t>Найголовнішими з них Всесвітній економічний форум визнає наступні:</w:t>
      </w:r>
    </w:p>
    <w:p w:rsidR="001C152B" w:rsidRPr="00BA4491" w:rsidRDefault="00B56E8B" w:rsidP="001C152B">
      <w:pPr>
        <w:spacing w:after="0" w:line="240" w:lineRule="auto"/>
        <w:ind w:firstLine="720"/>
        <w:jc w:val="both"/>
        <w:rPr>
          <w:bCs/>
          <w:iCs/>
          <w:szCs w:val="28"/>
        </w:rPr>
      </w:pPr>
      <w:r w:rsidRPr="00BA4491">
        <w:rPr>
          <w:bCs/>
          <w:iCs/>
          <w:szCs w:val="28"/>
        </w:rPr>
        <w:t>1. Н</w:t>
      </w:r>
      <w:r w:rsidR="001137E5" w:rsidRPr="00BA4491">
        <w:rPr>
          <w:bCs/>
          <w:iCs/>
          <w:szCs w:val="28"/>
        </w:rPr>
        <w:t>есприятлива нормативно-правова база</w:t>
      </w:r>
      <w:r w:rsidR="001C152B" w:rsidRPr="00BA4491">
        <w:rPr>
          <w:bCs/>
          <w:iCs/>
          <w:szCs w:val="28"/>
        </w:rPr>
        <w:t>, яка створює проблеми навк</w:t>
      </w:r>
      <w:r w:rsidR="001C152B" w:rsidRPr="00BA4491">
        <w:rPr>
          <w:bCs/>
          <w:iCs/>
          <w:szCs w:val="28"/>
        </w:rPr>
        <w:t>о</w:t>
      </w:r>
      <w:r w:rsidR="001C152B" w:rsidRPr="00BA4491">
        <w:rPr>
          <w:bCs/>
          <w:iCs/>
          <w:szCs w:val="28"/>
        </w:rPr>
        <w:t xml:space="preserve">ло таких ключових питань як </w:t>
      </w:r>
      <w:r w:rsidR="001137E5" w:rsidRPr="00BA4491">
        <w:t xml:space="preserve">права власності, прозорість урядової політики, </w:t>
      </w:r>
      <w:r w:rsidR="001C152B" w:rsidRPr="00BA4491">
        <w:t>роль у бізнесі прямих іноземних інвестицій, умови початку бізнесу</w:t>
      </w:r>
      <w:r w:rsidR="00E16745" w:rsidRPr="00BA4491">
        <w:t xml:space="preserve">, надійність </w:t>
      </w:r>
      <w:r w:rsidR="00E16745" w:rsidRPr="00BA4491">
        <w:lastRenderedPageBreak/>
        <w:t>послуг правоохоронних служб</w:t>
      </w:r>
      <w:r w:rsidR="001C152B" w:rsidRPr="00BA4491">
        <w:t xml:space="preserve"> тощо. </w:t>
      </w:r>
      <w:r w:rsidR="00310298" w:rsidRPr="00BA4491">
        <w:t>Слід зазначити, що п</w:t>
      </w:r>
      <w:r w:rsidR="001C152B" w:rsidRPr="00BA4491">
        <w:rPr>
          <w:bCs/>
          <w:iCs/>
          <w:szCs w:val="28"/>
        </w:rPr>
        <w:t xml:space="preserve">опри декларативні офіційні заяви, туризм в Україні не є одним із важливих напрямків розвитку економіки. </w:t>
      </w:r>
      <w:r w:rsidR="009C77CE" w:rsidRPr="00BA4491">
        <w:rPr>
          <w:bCs/>
          <w:iCs/>
          <w:szCs w:val="28"/>
        </w:rPr>
        <w:t>З</w:t>
      </w:r>
      <w:r w:rsidR="001C152B" w:rsidRPr="00BA4491">
        <w:rPr>
          <w:bCs/>
          <w:iCs/>
          <w:szCs w:val="28"/>
        </w:rPr>
        <w:t xml:space="preserve">а пріоритетністю індустрії туризму </w:t>
      </w:r>
      <w:r w:rsidR="00F84AD4" w:rsidRPr="00BA4491">
        <w:rPr>
          <w:bCs/>
          <w:iCs/>
          <w:szCs w:val="28"/>
        </w:rPr>
        <w:t xml:space="preserve">наша країна </w:t>
      </w:r>
      <w:r w:rsidR="001C152B" w:rsidRPr="00BA4491">
        <w:rPr>
          <w:bCs/>
          <w:iCs/>
          <w:szCs w:val="28"/>
        </w:rPr>
        <w:t>посі</w:t>
      </w:r>
      <w:r w:rsidR="00472AF2" w:rsidRPr="00BA4491">
        <w:rPr>
          <w:bCs/>
          <w:iCs/>
          <w:szCs w:val="28"/>
        </w:rPr>
        <w:t>дає тільки 84</w:t>
      </w:r>
      <w:r w:rsidR="001C152B" w:rsidRPr="00BA4491">
        <w:rPr>
          <w:bCs/>
          <w:iCs/>
          <w:szCs w:val="28"/>
        </w:rPr>
        <w:t xml:space="preserve">-е місце </w:t>
      </w:r>
      <w:r w:rsidR="00A13842" w:rsidRPr="00BA4491">
        <w:rPr>
          <w:bCs/>
          <w:iCs/>
          <w:szCs w:val="28"/>
        </w:rPr>
        <w:t>і</w:t>
      </w:r>
      <w:r w:rsidR="001C152B" w:rsidRPr="00BA4491">
        <w:rPr>
          <w:bCs/>
          <w:iCs/>
          <w:szCs w:val="28"/>
        </w:rPr>
        <w:t xml:space="preserve">з 140 країн світу. </w:t>
      </w:r>
    </w:p>
    <w:p w:rsidR="001C152B" w:rsidRPr="00BA4491" w:rsidRDefault="001C152B" w:rsidP="001137E5">
      <w:pPr>
        <w:spacing w:after="0" w:line="240" w:lineRule="auto"/>
        <w:ind w:firstLine="720"/>
        <w:jc w:val="both"/>
      </w:pPr>
      <w:r w:rsidRPr="00BA4491">
        <w:t xml:space="preserve">2. </w:t>
      </w:r>
      <w:r w:rsidR="00E16745" w:rsidRPr="00BA4491">
        <w:t xml:space="preserve">Неналежна інфраструктура, </w:t>
      </w:r>
      <w:r w:rsidR="004F0957" w:rsidRPr="00BA4491">
        <w:t xml:space="preserve">зокрема транспортна, що характеризується </w:t>
      </w:r>
      <w:r w:rsidR="00E16745" w:rsidRPr="00BA4491">
        <w:t>вкрай поган</w:t>
      </w:r>
      <w:r w:rsidR="004F0957" w:rsidRPr="00BA4491">
        <w:t>ою</w:t>
      </w:r>
      <w:r w:rsidR="00E16745" w:rsidRPr="00BA4491">
        <w:t xml:space="preserve"> якіст</w:t>
      </w:r>
      <w:r w:rsidR="004F0957" w:rsidRPr="00BA4491">
        <w:t>ю</w:t>
      </w:r>
      <w:r w:rsidR="00E16745" w:rsidRPr="00BA4491">
        <w:t xml:space="preserve"> д</w:t>
      </w:r>
      <w:r w:rsidR="004F0957" w:rsidRPr="00BA4491">
        <w:t>оріг. До того ж, країна не забезпечена достатнім номе</w:t>
      </w:r>
      <w:r w:rsidR="004F0957" w:rsidRPr="00BA4491">
        <w:t>р</w:t>
      </w:r>
      <w:r w:rsidR="004F0957" w:rsidRPr="00BA4491">
        <w:t>ним фондом належної якості</w:t>
      </w:r>
      <w:r w:rsidR="00E1413E" w:rsidRPr="00BA4491">
        <w:t xml:space="preserve"> і має низьку цінову конкурентоспроможність і</w:t>
      </w:r>
      <w:r w:rsidR="00E1413E" w:rsidRPr="00BA4491">
        <w:t>н</w:t>
      </w:r>
      <w:r w:rsidR="00E1413E" w:rsidRPr="00BA4491">
        <w:t>дустрії туризму (зокрема, через недосконалу систему оподаткування).</w:t>
      </w:r>
    </w:p>
    <w:p w:rsidR="004F0957" w:rsidRPr="00BA4491" w:rsidRDefault="004F0957" w:rsidP="001137E5">
      <w:pPr>
        <w:spacing w:after="0" w:line="240" w:lineRule="auto"/>
        <w:ind w:firstLine="720"/>
        <w:jc w:val="both"/>
      </w:pPr>
      <w:r w:rsidRPr="00BA4491">
        <w:t xml:space="preserve">3. </w:t>
      </w:r>
      <w:r w:rsidR="00FE1577" w:rsidRPr="00BA4491">
        <w:t xml:space="preserve">Неналежна якість довкілля, поширеність захворювання на ВІЛ, </w:t>
      </w:r>
      <w:r w:rsidR="00796DA5" w:rsidRPr="00BA4491">
        <w:t>не за</w:t>
      </w:r>
      <w:r w:rsidR="00796DA5" w:rsidRPr="00BA4491">
        <w:t>в</w:t>
      </w:r>
      <w:r w:rsidR="00796DA5" w:rsidRPr="00BA4491">
        <w:t xml:space="preserve">жди позитивне </w:t>
      </w:r>
      <w:r w:rsidR="00FE1577" w:rsidRPr="00BA4491">
        <w:t>ставлення населення до іноземних відвідувачів.</w:t>
      </w:r>
    </w:p>
    <w:p w:rsidR="00222FE1" w:rsidRPr="00BA4491" w:rsidRDefault="001C152B" w:rsidP="001137E5">
      <w:pPr>
        <w:spacing w:after="0" w:line="240" w:lineRule="auto"/>
        <w:ind w:firstLine="720"/>
        <w:jc w:val="both"/>
        <w:rPr>
          <w:rFonts w:cs="Times New Roman"/>
          <w:bCs/>
          <w:iCs/>
          <w:szCs w:val="28"/>
        </w:rPr>
      </w:pPr>
      <w:r w:rsidRPr="00BA4491">
        <w:rPr>
          <w:bCs/>
          <w:iCs/>
          <w:szCs w:val="28"/>
        </w:rPr>
        <w:t xml:space="preserve"> </w:t>
      </w:r>
      <w:r w:rsidR="00222FE1" w:rsidRPr="00BA4491">
        <w:rPr>
          <w:bCs/>
          <w:iCs/>
          <w:szCs w:val="28"/>
        </w:rPr>
        <w:t xml:space="preserve">Безперечно, в багатьох інших країнах також існують </w:t>
      </w:r>
      <w:r w:rsidR="00222FE1" w:rsidRPr="00BA4491">
        <w:rPr>
          <w:rFonts w:cs="Times New Roman"/>
          <w:bCs/>
          <w:iCs/>
          <w:szCs w:val="28"/>
        </w:rPr>
        <w:t>аналогічні пробл</w:t>
      </w:r>
      <w:r w:rsidR="00222FE1" w:rsidRPr="00BA4491">
        <w:rPr>
          <w:rFonts w:cs="Times New Roman"/>
          <w:bCs/>
          <w:iCs/>
          <w:szCs w:val="28"/>
        </w:rPr>
        <w:t>е</w:t>
      </w:r>
      <w:r w:rsidR="00222FE1" w:rsidRPr="00BA4491">
        <w:rPr>
          <w:rFonts w:cs="Times New Roman"/>
          <w:bCs/>
          <w:iCs/>
          <w:szCs w:val="28"/>
        </w:rPr>
        <w:t xml:space="preserve">ми. Однак так чи інакше, але остаточні підсумки </w:t>
      </w:r>
      <w:r w:rsidR="00396262" w:rsidRPr="00BA4491">
        <w:rPr>
          <w:rFonts w:cs="Times New Roman"/>
          <w:bCs/>
          <w:iCs/>
          <w:szCs w:val="28"/>
        </w:rPr>
        <w:t>чи навряд варто с</w:t>
      </w:r>
      <w:r w:rsidR="00396262" w:rsidRPr="00BA4491">
        <w:rPr>
          <w:rFonts w:cs="Times New Roman"/>
          <w:szCs w:val="28"/>
        </w:rPr>
        <w:t>тавити під сумнів</w:t>
      </w:r>
      <w:r w:rsidR="002F2F94" w:rsidRPr="00BA4491">
        <w:rPr>
          <w:rFonts w:cs="Times New Roman"/>
          <w:szCs w:val="28"/>
        </w:rPr>
        <w:t xml:space="preserve"> – т</w:t>
      </w:r>
      <w:r w:rsidR="00396262" w:rsidRPr="00BA4491">
        <w:rPr>
          <w:rFonts w:cs="Times New Roman"/>
          <w:szCs w:val="28"/>
        </w:rPr>
        <w:t xml:space="preserve">уризм в Україні, попри </w:t>
      </w:r>
      <w:r w:rsidR="00811A12" w:rsidRPr="00BA4491">
        <w:rPr>
          <w:rFonts w:cs="Times New Roman"/>
          <w:szCs w:val="28"/>
        </w:rPr>
        <w:t xml:space="preserve">наявний </w:t>
      </w:r>
      <w:r w:rsidR="00396262" w:rsidRPr="00BA4491">
        <w:rPr>
          <w:rFonts w:cs="Times New Roman"/>
          <w:szCs w:val="28"/>
        </w:rPr>
        <w:t xml:space="preserve">потенціал, перебуває не в належному стані. Адже </w:t>
      </w:r>
      <w:r w:rsidR="00C64EEC" w:rsidRPr="00BA4491">
        <w:rPr>
          <w:rFonts w:cs="Times New Roman"/>
          <w:szCs w:val="28"/>
        </w:rPr>
        <w:t>уряд країни</w:t>
      </w:r>
      <w:r w:rsidR="00396262" w:rsidRPr="00BA4491">
        <w:rPr>
          <w:rFonts w:cs="Times New Roman"/>
          <w:szCs w:val="28"/>
        </w:rPr>
        <w:t xml:space="preserve"> </w:t>
      </w:r>
      <w:r w:rsidR="00A55E19" w:rsidRPr="00BA4491">
        <w:rPr>
          <w:rFonts w:cs="Times New Roman"/>
          <w:szCs w:val="28"/>
        </w:rPr>
        <w:t>фактично не</w:t>
      </w:r>
      <w:r w:rsidR="00396262" w:rsidRPr="00BA4491">
        <w:rPr>
          <w:rFonts w:cs="Times New Roman"/>
          <w:szCs w:val="28"/>
        </w:rPr>
        <w:t xml:space="preserve"> опікується розвитком цієї галузі економ</w:t>
      </w:r>
      <w:r w:rsidR="00396262" w:rsidRPr="00BA4491">
        <w:rPr>
          <w:rFonts w:cs="Times New Roman"/>
          <w:szCs w:val="28"/>
        </w:rPr>
        <w:t>і</w:t>
      </w:r>
      <w:r w:rsidR="00396262" w:rsidRPr="00BA4491">
        <w:rPr>
          <w:rFonts w:cs="Times New Roman"/>
          <w:szCs w:val="28"/>
        </w:rPr>
        <w:t xml:space="preserve">ки, а приватний бізнес не в змозі підняти </w:t>
      </w:r>
      <w:r w:rsidR="002F2F94" w:rsidRPr="00BA4491">
        <w:rPr>
          <w:rFonts w:cs="Times New Roman"/>
          <w:szCs w:val="28"/>
        </w:rPr>
        <w:t>її</w:t>
      </w:r>
      <w:r w:rsidR="00396262" w:rsidRPr="00BA4491">
        <w:rPr>
          <w:rFonts w:cs="Times New Roman"/>
          <w:szCs w:val="28"/>
        </w:rPr>
        <w:t xml:space="preserve"> на належний рівень через </w:t>
      </w:r>
      <w:r w:rsidR="002F2F94" w:rsidRPr="00BA4491">
        <w:rPr>
          <w:rFonts w:cs="Times New Roman"/>
          <w:szCs w:val="28"/>
        </w:rPr>
        <w:t>перешк</w:t>
      </w:r>
      <w:r w:rsidR="002F2F94" w:rsidRPr="00BA4491">
        <w:rPr>
          <w:rFonts w:cs="Times New Roman"/>
          <w:szCs w:val="28"/>
        </w:rPr>
        <w:t>о</w:t>
      </w:r>
      <w:r w:rsidR="002F2F94" w:rsidRPr="00BA4491">
        <w:rPr>
          <w:rFonts w:cs="Times New Roman"/>
          <w:szCs w:val="28"/>
        </w:rPr>
        <w:t>ди (подекуди, штучні), подолати які можливо тільки за активної участі держа</w:t>
      </w:r>
      <w:r w:rsidR="0072609D" w:rsidRPr="00BA4491">
        <w:rPr>
          <w:rFonts w:cs="Times New Roman"/>
          <w:szCs w:val="28"/>
        </w:rPr>
        <w:t>ви.</w:t>
      </w:r>
    </w:p>
    <w:p w:rsidR="00426C7A" w:rsidRPr="00BA4491" w:rsidRDefault="00426C7A" w:rsidP="00426C7A">
      <w:pPr>
        <w:spacing w:after="0" w:line="240" w:lineRule="auto"/>
        <w:ind w:firstLine="709"/>
        <w:jc w:val="both"/>
        <w:rPr>
          <w:bCs/>
          <w:i/>
          <w:iCs/>
          <w:szCs w:val="28"/>
        </w:rPr>
      </w:pPr>
    </w:p>
    <w:p w:rsidR="00425A5F" w:rsidRPr="00BA4491" w:rsidRDefault="00425A5F" w:rsidP="001537BA">
      <w:pPr>
        <w:spacing w:after="0" w:line="240" w:lineRule="auto"/>
        <w:ind w:firstLine="720"/>
        <w:jc w:val="both"/>
        <w:rPr>
          <w:szCs w:val="28"/>
        </w:rPr>
      </w:pPr>
    </w:p>
    <w:p w:rsidR="00EE2F90" w:rsidRPr="00BA4491" w:rsidRDefault="00EE2F90" w:rsidP="005D6E6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A4491">
        <w:rPr>
          <w:rFonts w:cs="Times New Roman"/>
          <w:b/>
          <w:sz w:val="24"/>
          <w:szCs w:val="24"/>
        </w:rPr>
        <w:t>Література</w:t>
      </w:r>
    </w:p>
    <w:p w:rsidR="00EE2F90" w:rsidRPr="00BA4491" w:rsidRDefault="00871C10" w:rsidP="005D6E6A">
      <w:pPr>
        <w:spacing w:after="0" w:line="240" w:lineRule="auto"/>
        <w:ind w:firstLine="720"/>
        <w:jc w:val="both"/>
        <w:rPr>
          <w:sz w:val="24"/>
          <w:szCs w:val="24"/>
        </w:rPr>
      </w:pPr>
      <w:r w:rsidRPr="00BA4491">
        <w:rPr>
          <w:sz w:val="24"/>
          <w:szCs w:val="24"/>
        </w:rPr>
        <w:t xml:space="preserve">1. World Tourism Organization [Електронний ресурс]. – Режим доступу: </w:t>
      </w:r>
      <w:hyperlink r:id="rId10" w:history="1">
        <w:r w:rsidRPr="00BA4491">
          <w:rPr>
            <w:rStyle w:val="ac"/>
            <w:color w:val="auto"/>
            <w:sz w:val="24"/>
            <w:szCs w:val="24"/>
            <w:u w:val="none"/>
          </w:rPr>
          <w:t>www.world-tourism.org</w:t>
        </w:r>
      </w:hyperlink>
      <w:r w:rsidRPr="00BA4491">
        <w:rPr>
          <w:sz w:val="24"/>
          <w:szCs w:val="24"/>
        </w:rPr>
        <w:t xml:space="preserve">  </w:t>
      </w:r>
    </w:p>
    <w:p w:rsidR="00440360" w:rsidRPr="00BA4491" w:rsidRDefault="00440360" w:rsidP="009E45B0">
      <w:pPr>
        <w:spacing w:after="0"/>
        <w:ind w:firstLine="709"/>
        <w:jc w:val="both"/>
        <w:outlineLvl w:val="0"/>
        <w:rPr>
          <w:sz w:val="24"/>
          <w:szCs w:val="24"/>
        </w:rPr>
      </w:pPr>
      <w:r w:rsidRPr="00BA4491">
        <w:rPr>
          <w:sz w:val="24"/>
          <w:szCs w:val="24"/>
        </w:rPr>
        <w:t xml:space="preserve">2. World Travel &amp; Tourism Council [Електронний ресурс]. – Режим доступу: </w:t>
      </w:r>
      <w:hyperlink r:id="rId11" w:history="1">
        <w:r w:rsidRPr="00BA4491">
          <w:rPr>
            <w:rStyle w:val="ac"/>
            <w:color w:val="auto"/>
            <w:sz w:val="24"/>
            <w:szCs w:val="24"/>
            <w:u w:val="none"/>
          </w:rPr>
          <w:t>http://www.wttc.org/eng/Home/</w:t>
        </w:r>
      </w:hyperlink>
    </w:p>
    <w:p w:rsidR="00FA2E87" w:rsidRPr="00BA4491" w:rsidRDefault="009E45B0" w:rsidP="00FA2E87">
      <w:pPr>
        <w:spacing w:after="0"/>
        <w:ind w:firstLine="709"/>
        <w:jc w:val="both"/>
        <w:outlineLvl w:val="0"/>
        <w:rPr>
          <w:rFonts w:eastAsia="Calibri" w:cs="Times New Roman"/>
          <w:sz w:val="24"/>
          <w:szCs w:val="24"/>
        </w:rPr>
      </w:pPr>
      <w:r w:rsidRPr="00BA4491">
        <w:rPr>
          <w:sz w:val="24"/>
          <w:szCs w:val="24"/>
        </w:rPr>
        <w:t xml:space="preserve">3. Пестушко В.Ю.  </w:t>
      </w:r>
      <w:r w:rsidRPr="00BA4491">
        <w:rPr>
          <w:rFonts w:eastAsia="Calibri" w:cs="Times New Roman"/>
          <w:sz w:val="24"/>
          <w:szCs w:val="24"/>
        </w:rPr>
        <w:t>Проблеми статистичного обліку в’їзного туризму в Україні // Гео</w:t>
      </w:r>
      <w:r w:rsidRPr="00BA4491">
        <w:rPr>
          <w:rFonts w:eastAsia="Calibri" w:cs="Times New Roman"/>
          <w:sz w:val="24"/>
          <w:szCs w:val="24"/>
        </w:rPr>
        <w:t>г</w:t>
      </w:r>
      <w:r w:rsidR="00CE3F39" w:rsidRPr="00BA4491">
        <w:rPr>
          <w:rFonts w:eastAsia="Calibri" w:cs="Times New Roman"/>
          <w:sz w:val="24"/>
          <w:szCs w:val="24"/>
        </w:rPr>
        <w:t>рафія та туризм: Наук. з</w:t>
      </w:r>
      <w:r w:rsidRPr="00BA4491">
        <w:rPr>
          <w:rFonts w:eastAsia="Calibri" w:cs="Times New Roman"/>
          <w:sz w:val="24"/>
          <w:szCs w:val="24"/>
        </w:rPr>
        <w:t>б.</w:t>
      </w:r>
      <w:r w:rsidR="00196A7C" w:rsidRPr="00BA4491">
        <w:rPr>
          <w:rFonts w:eastAsia="Calibri" w:cs="Times New Roman"/>
          <w:sz w:val="24"/>
          <w:szCs w:val="24"/>
        </w:rPr>
        <w:t xml:space="preserve"> </w:t>
      </w:r>
      <w:r w:rsidRPr="00BA4491">
        <w:rPr>
          <w:rFonts w:eastAsia="Calibri" w:cs="Times New Roman"/>
          <w:sz w:val="24"/>
          <w:szCs w:val="24"/>
        </w:rPr>
        <w:t>–</w:t>
      </w:r>
      <w:r w:rsidR="00196A7C" w:rsidRPr="00BA4491">
        <w:rPr>
          <w:rFonts w:eastAsia="Calibri" w:cs="Times New Roman"/>
          <w:sz w:val="24"/>
          <w:szCs w:val="24"/>
        </w:rPr>
        <w:t xml:space="preserve"> </w:t>
      </w:r>
      <w:r w:rsidRPr="00BA4491">
        <w:rPr>
          <w:rFonts w:eastAsia="Calibri" w:cs="Times New Roman"/>
          <w:sz w:val="24"/>
          <w:szCs w:val="24"/>
        </w:rPr>
        <w:t>К. Альтерпрес, 2011.</w:t>
      </w:r>
      <w:r w:rsidR="00196A7C" w:rsidRPr="00BA4491">
        <w:rPr>
          <w:rFonts w:eastAsia="Calibri" w:cs="Times New Roman"/>
          <w:sz w:val="24"/>
          <w:szCs w:val="24"/>
        </w:rPr>
        <w:t xml:space="preserve"> </w:t>
      </w:r>
      <w:r w:rsidRPr="00BA4491">
        <w:rPr>
          <w:rFonts w:eastAsia="Calibri" w:cs="Times New Roman"/>
          <w:sz w:val="24"/>
          <w:szCs w:val="24"/>
        </w:rPr>
        <w:t>–</w:t>
      </w:r>
      <w:r w:rsidR="00196A7C" w:rsidRPr="00BA4491">
        <w:rPr>
          <w:rFonts w:eastAsia="Calibri" w:cs="Times New Roman"/>
          <w:sz w:val="24"/>
          <w:szCs w:val="24"/>
        </w:rPr>
        <w:t xml:space="preserve"> </w:t>
      </w:r>
      <w:r w:rsidRPr="00BA4491">
        <w:rPr>
          <w:rFonts w:eastAsia="Calibri" w:cs="Times New Roman"/>
          <w:sz w:val="24"/>
          <w:szCs w:val="24"/>
        </w:rPr>
        <w:t>Вип.14.–</w:t>
      </w:r>
      <w:r w:rsidR="00196A7C" w:rsidRPr="00BA4491">
        <w:rPr>
          <w:rFonts w:eastAsia="Calibri" w:cs="Times New Roman"/>
          <w:sz w:val="24"/>
          <w:szCs w:val="24"/>
        </w:rPr>
        <w:t xml:space="preserve"> С</w:t>
      </w:r>
      <w:r w:rsidRPr="00BA4491">
        <w:rPr>
          <w:rFonts w:eastAsia="Calibri" w:cs="Times New Roman"/>
          <w:sz w:val="24"/>
          <w:szCs w:val="24"/>
        </w:rPr>
        <w:t>.43-46</w:t>
      </w:r>
      <w:r w:rsidR="00196A7C" w:rsidRPr="00BA4491">
        <w:rPr>
          <w:rFonts w:eastAsia="Calibri" w:cs="Times New Roman"/>
          <w:sz w:val="24"/>
          <w:szCs w:val="24"/>
        </w:rPr>
        <w:t>.</w:t>
      </w:r>
    </w:p>
    <w:p w:rsidR="00216083" w:rsidRPr="00BA4491" w:rsidRDefault="002F294F" w:rsidP="00FA2E87">
      <w:pPr>
        <w:spacing w:after="0"/>
        <w:ind w:firstLine="709"/>
        <w:jc w:val="both"/>
        <w:outlineLvl w:val="0"/>
        <w:rPr>
          <w:sz w:val="24"/>
          <w:szCs w:val="24"/>
        </w:rPr>
      </w:pPr>
      <w:r w:rsidRPr="00BA4491">
        <w:rPr>
          <w:rFonts w:eastAsia="Calibri" w:cs="Times New Roman"/>
          <w:sz w:val="24"/>
          <w:szCs w:val="24"/>
        </w:rPr>
        <w:t>4</w:t>
      </w:r>
      <w:r w:rsidR="00FA2E87" w:rsidRPr="00BA4491">
        <w:rPr>
          <w:rFonts w:eastAsia="Calibri" w:cs="Times New Roman"/>
          <w:sz w:val="24"/>
          <w:szCs w:val="24"/>
        </w:rPr>
        <w:t xml:space="preserve">. </w:t>
      </w:r>
      <w:r w:rsidR="0064504C" w:rsidRPr="00BA4491">
        <w:rPr>
          <w:rStyle w:val="ae"/>
          <w:b w:val="0"/>
          <w:sz w:val="24"/>
          <w:szCs w:val="24"/>
        </w:rPr>
        <w:t>The World Economic Forum</w:t>
      </w:r>
      <w:r w:rsidR="0064504C" w:rsidRPr="00BA4491">
        <w:rPr>
          <w:sz w:val="24"/>
          <w:szCs w:val="24"/>
        </w:rPr>
        <w:t xml:space="preserve"> </w:t>
      </w:r>
      <w:r w:rsidR="00FA2E87" w:rsidRPr="00BA4491">
        <w:rPr>
          <w:sz w:val="24"/>
          <w:szCs w:val="24"/>
        </w:rPr>
        <w:t xml:space="preserve">[Електронний ресурс]. – Режим доступу: </w:t>
      </w:r>
      <w:r w:rsidR="00216083" w:rsidRPr="00BA4491">
        <w:rPr>
          <w:sz w:val="24"/>
          <w:szCs w:val="24"/>
        </w:rPr>
        <w:t>http://www.weforum.org/issues/travel-and-tourism-competitiveness</w:t>
      </w:r>
    </w:p>
    <w:p w:rsidR="009E45B0" w:rsidRDefault="009E45B0" w:rsidP="009E45B0">
      <w:pPr>
        <w:spacing w:after="0"/>
        <w:ind w:firstLine="709"/>
        <w:jc w:val="both"/>
        <w:outlineLvl w:val="0"/>
        <w:rPr>
          <w:rFonts w:eastAsia="Calibri" w:cs="Times New Roman"/>
          <w:sz w:val="24"/>
          <w:szCs w:val="24"/>
        </w:rPr>
      </w:pPr>
    </w:p>
    <w:p w:rsidR="00CC4D51" w:rsidRPr="00CC4D51" w:rsidRDefault="00CC4D51" w:rsidP="009E45B0">
      <w:pPr>
        <w:spacing w:after="0"/>
        <w:ind w:firstLine="709"/>
        <w:jc w:val="both"/>
        <w:outlineLvl w:val="0"/>
        <w:rPr>
          <w:rFonts w:eastAsia="Calibri" w:cs="Times New Roman"/>
          <w:color w:val="FF0000"/>
          <w:sz w:val="24"/>
          <w:szCs w:val="24"/>
        </w:rPr>
      </w:pPr>
      <w:r w:rsidRPr="00CC4D51">
        <w:rPr>
          <w:rFonts w:eastAsia="Calibri" w:cs="Times New Roman"/>
          <w:color w:val="FF0000"/>
          <w:sz w:val="24"/>
          <w:szCs w:val="24"/>
        </w:rPr>
        <w:t xml:space="preserve">Опубліковано: </w:t>
      </w:r>
    </w:p>
    <w:p w:rsidR="00CC4D51" w:rsidRPr="00CC4D51" w:rsidRDefault="00CC4D51" w:rsidP="009E45B0">
      <w:pPr>
        <w:spacing w:after="0"/>
        <w:ind w:firstLine="709"/>
        <w:jc w:val="both"/>
        <w:outlineLvl w:val="0"/>
        <w:rPr>
          <w:rFonts w:eastAsia="Calibri" w:cs="Times New Roman"/>
          <w:color w:val="FF0000"/>
          <w:sz w:val="24"/>
          <w:szCs w:val="24"/>
        </w:rPr>
      </w:pPr>
      <w:r w:rsidRPr="00CC4D51">
        <w:rPr>
          <w:color w:val="FF0000"/>
        </w:rPr>
        <w:t>Наукові пошуки географічної громадськості: минуле, сьогодення, ма</w:t>
      </w:r>
      <w:r w:rsidRPr="00CC4D51">
        <w:rPr>
          <w:color w:val="FF0000"/>
        </w:rPr>
        <w:t>й</w:t>
      </w:r>
      <w:r w:rsidRPr="00CC4D51">
        <w:rPr>
          <w:color w:val="FF0000"/>
        </w:rPr>
        <w:t xml:space="preserve">буття: матеріали </w:t>
      </w:r>
      <w:proofErr w:type="spellStart"/>
      <w:r w:rsidRPr="00CC4D51">
        <w:rPr>
          <w:color w:val="FF0000"/>
        </w:rPr>
        <w:t>Всеукр</w:t>
      </w:r>
      <w:proofErr w:type="spellEnd"/>
      <w:r w:rsidRPr="00CC4D51">
        <w:rPr>
          <w:color w:val="FF0000"/>
        </w:rPr>
        <w:t xml:space="preserve">. </w:t>
      </w:r>
      <w:proofErr w:type="spellStart"/>
      <w:r w:rsidRPr="00CC4D51">
        <w:rPr>
          <w:color w:val="FF0000"/>
        </w:rPr>
        <w:t>наук.-практ</w:t>
      </w:r>
      <w:proofErr w:type="spellEnd"/>
      <w:r w:rsidRPr="00CC4D51">
        <w:rPr>
          <w:color w:val="FF0000"/>
        </w:rPr>
        <w:t xml:space="preserve">. </w:t>
      </w:r>
      <w:proofErr w:type="spellStart"/>
      <w:r w:rsidRPr="00CC4D51">
        <w:rPr>
          <w:color w:val="FF0000"/>
        </w:rPr>
        <w:t>конф</w:t>
      </w:r>
      <w:proofErr w:type="spellEnd"/>
      <w:r w:rsidRPr="00CC4D51">
        <w:rPr>
          <w:color w:val="FF0000"/>
        </w:rPr>
        <w:t xml:space="preserve">. Луганськ: Вид-во «ДЗ ЛНУ </w:t>
      </w:r>
      <w:proofErr w:type="spellStart"/>
      <w:r w:rsidRPr="00CC4D51">
        <w:rPr>
          <w:color w:val="FF0000"/>
        </w:rPr>
        <w:t>ім.Т.Шевченка</w:t>
      </w:r>
      <w:proofErr w:type="spellEnd"/>
      <w:r w:rsidRPr="00CC4D51">
        <w:rPr>
          <w:color w:val="FF0000"/>
        </w:rPr>
        <w:t>», 2013.–С.230-234.</w:t>
      </w: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p w:rsidR="00EE3BF5" w:rsidRDefault="00EE3BF5" w:rsidP="00A5036D">
      <w:pPr>
        <w:spacing w:after="0"/>
        <w:ind w:firstLine="709"/>
        <w:jc w:val="center"/>
        <w:outlineLvl w:val="0"/>
        <w:rPr>
          <w:rFonts w:eastAsia="Calibri" w:cs="Times New Roman"/>
          <w:sz w:val="24"/>
          <w:szCs w:val="24"/>
        </w:rPr>
      </w:pPr>
    </w:p>
    <w:sectPr w:rsidR="00EE3BF5" w:rsidSect="00A865F5">
      <w:type w:val="continuous"/>
      <w:pgSz w:w="11909" w:h="16834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5430E7"/>
    <w:multiLevelType w:val="hybridMultilevel"/>
    <w:tmpl w:val="8F787732"/>
    <w:lvl w:ilvl="0" w:tplc="30801D8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9DC4DF8"/>
    <w:multiLevelType w:val="multilevel"/>
    <w:tmpl w:val="D33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06F88"/>
    <w:multiLevelType w:val="hybridMultilevel"/>
    <w:tmpl w:val="EADE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E68EACE">
      <w:start w:val="1"/>
      <w:numFmt w:val="decimal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719EA"/>
    <w:multiLevelType w:val="hybridMultilevel"/>
    <w:tmpl w:val="C2BA0C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6B73"/>
    <w:multiLevelType w:val="hybridMultilevel"/>
    <w:tmpl w:val="F21E23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F1812"/>
    <w:multiLevelType w:val="multilevel"/>
    <w:tmpl w:val="4B3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4690D"/>
    <w:multiLevelType w:val="multilevel"/>
    <w:tmpl w:val="EB9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E1C05"/>
    <w:multiLevelType w:val="hybridMultilevel"/>
    <w:tmpl w:val="43D6C46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ED209A6"/>
    <w:multiLevelType w:val="multilevel"/>
    <w:tmpl w:val="B9F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65F5"/>
    <w:rsid w:val="00035EC7"/>
    <w:rsid w:val="00037A0A"/>
    <w:rsid w:val="00040DFA"/>
    <w:rsid w:val="0005167B"/>
    <w:rsid w:val="00065909"/>
    <w:rsid w:val="00073F78"/>
    <w:rsid w:val="000779CE"/>
    <w:rsid w:val="000A4B56"/>
    <w:rsid w:val="000B00B1"/>
    <w:rsid w:val="000D0679"/>
    <w:rsid w:val="000D2A6A"/>
    <w:rsid w:val="000D33B8"/>
    <w:rsid w:val="000D5118"/>
    <w:rsid w:val="000E7930"/>
    <w:rsid w:val="000E7C3D"/>
    <w:rsid w:val="000F3537"/>
    <w:rsid w:val="00111473"/>
    <w:rsid w:val="001134F8"/>
    <w:rsid w:val="001137E5"/>
    <w:rsid w:val="001273D4"/>
    <w:rsid w:val="001368ED"/>
    <w:rsid w:val="001537BA"/>
    <w:rsid w:val="00155C74"/>
    <w:rsid w:val="001966EA"/>
    <w:rsid w:val="00196A7C"/>
    <w:rsid w:val="001B487C"/>
    <w:rsid w:val="001C152B"/>
    <w:rsid w:val="001D1177"/>
    <w:rsid w:val="001D2EF3"/>
    <w:rsid w:val="001E3FA6"/>
    <w:rsid w:val="002011F8"/>
    <w:rsid w:val="00202631"/>
    <w:rsid w:val="00216083"/>
    <w:rsid w:val="00222FE1"/>
    <w:rsid w:val="0023541D"/>
    <w:rsid w:val="00236BBB"/>
    <w:rsid w:val="00251306"/>
    <w:rsid w:val="0029075C"/>
    <w:rsid w:val="00291323"/>
    <w:rsid w:val="00295525"/>
    <w:rsid w:val="002A3DF2"/>
    <w:rsid w:val="002C70EF"/>
    <w:rsid w:val="002C79DC"/>
    <w:rsid w:val="002F294F"/>
    <w:rsid w:val="002F2F94"/>
    <w:rsid w:val="002F38CC"/>
    <w:rsid w:val="002F38F2"/>
    <w:rsid w:val="00300264"/>
    <w:rsid w:val="00310298"/>
    <w:rsid w:val="00333B2A"/>
    <w:rsid w:val="003411D4"/>
    <w:rsid w:val="00346AC1"/>
    <w:rsid w:val="00365476"/>
    <w:rsid w:val="00366307"/>
    <w:rsid w:val="00366D03"/>
    <w:rsid w:val="00370FC1"/>
    <w:rsid w:val="00380BC9"/>
    <w:rsid w:val="00390929"/>
    <w:rsid w:val="00390A43"/>
    <w:rsid w:val="00390F7D"/>
    <w:rsid w:val="00396262"/>
    <w:rsid w:val="003A11B4"/>
    <w:rsid w:val="003B6987"/>
    <w:rsid w:val="003D2116"/>
    <w:rsid w:val="00402551"/>
    <w:rsid w:val="00412F5C"/>
    <w:rsid w:val="00424016"/>
    <w:rsid w:val="00425A5F"/>
    <w:rsid w:val="00426310"/>
    <w:rsid w:val="00426C7A"/>
    <w:rsid w:val="00430CED"/>
    <w:rsid w:val="00440360"/>
    <w:rsid w:val="004640DA"/>
    <w:rsid w:val="00472AF2"/>
    <w:rsid w:val="00486019"/>
    <w:rsid w:val="00487BEE"/>
    <w:rsid w:val="004C5A4F"/>
    <w:rsid w:val="004D4F1C"/>
    <w:rsid w:val="004D75D8"/>
    <w:rsid w:val="004E1529"/>
    <w:rsid w:val="004F0957"/>
    <w:rsid w:val="00511197"/>
    <w:rsid w:val="00524350"/>
    <w:rsid w:val="00527028"/>
    <w:rsid w:val="005437D6"/>
    <w:rsid w:val="005777CB"/>
    <w:rsid w:val="005852B1"/>
    <w:rsid w:val="005A6206"/>
    <w:rsid w:val="005C151E"/>
    <w:rsid w:val="005D0064"/>
    <w:rsid w:val="005D6E6A"/>
    <w:rsid w:val="0061563C"/>
    <w:rsid w:val="00616D2E"/>
    <w:rsid w:val="00642B12"/>
    <w:rsid w:val="0064504C"/>
    <w:rsid w:val="00651497"/>
    <w:rsid w:val="00667705"/>
    <w:rsid w:val="00674644"/>
    <w:rsid w:val="006A070E"/>
    <w:rsid w:val="006A2EDA"/>
    <w:rsid w:val="006D1B15"/>
    <w:rsid w:val="006D6793"/>
    <w:rsid w:val="006E13A3"/>
    <w:rsid w:val="006E14D5"/>
    <w:rsid w:val="006E4DA3"/>
    <w:rsid w:val="006E629D"/>
    <w:rsid w:val="006E7A14"/>
    <w:rsid w:val="006F2943"/>
    <w:rsid w:val="0070243D"/>
    <w:rsid w:val="00717283"/>
    <w:rsid w:val="00722F8F"/>
    <w:rsid w:val="0072609D"/>
    <w:rsid w:val="00741021"/>
    <w:rsid w:val="00760079"/>
    <w:rsid w:val="00771215"/>
    <w:rsid w:val="007805A2"/>
    <w:rsid w:val="0079467B"/>
    <w:rsid w:val="007954FA"/>
    <w:rsid w:val="00796DA5"/>
    <w:rsid w:val="007A781E"/>
    <w:rsid w:val="007B312C"/>
    <w:rsid w:val="007B44B4"/>
    <w:rsid w:val="007B7B1B"/>
    <w:rsid w:val="007D662E"/>
    <w:rsid w:val="007E0C15"/>
    <w:rsid w:val="007E3143"/>
    <w:rsid w:val="007F045B"/>
    <w:rsid w:val="007F1017"/>
    <w:rsid w:val="007F15A5"/>
    <w:rsid w:val="007F3719"/>
    <w:rsid w:val="007F5F01"/>
    <w:rsid w:val="00806D1A"/>
    <w:rsid w:val="00811A12"/>
    <w:rsid w:val="00811CFF"/>
    <w:rsid w:val="00820A3C"/>
    <w:rsid w:val="0082560E"/>
    <w:rsid w:val="00836892"/>
    <w:rsid w:val="00850C66"/>
    <w:rsid w:val="00856D55"/>
    <w:rsid w:val="008602BA"/>
    <w:rsid w:val="00871228"/>
    <w:rsid w:val="00871C10"/>
    <w:rsid w:val="008842B0"/>
    <w:rsid w:val="008A4C28"/>
    <w:rsid w:val="008C52DF"/>
    <w:rsid w:val="008D5283"/>
    <w:rsid w:val="008E5CD8"/>
    <w:rsid w:val="0090353F"/>
    <w:rsid w:val="00933DDF"/>
    <w:rsid w:val="009478FE"/>
    <w:rsid w:val="009567B9"/>
    <w:rsid w:val="00985483"/>
    <w:rsid w:val="009948C8"/>
    <w:rsid w:val="009A23E0"/>
    <w:rsid w:val="009B1F3D"/>
    <w:rsid w:val="009B289E"/>
    <w:rsid w:val="009B6BF3"/>
    <w:rsid w:val="009C3023"/>
    <w:rsid w:val="009C77CE"/>
    <w:rsid w:val="009D01BF"/>
    <w:rsid w:val="009D4DAB"/>
    <w:rsid w:val="009E45B0"/>
    <w:rsid w:val="009F5DE0"/>
    <w:rsid w:val="00A02282"/>
    <w:rsid w:val="00A04937"/>
    <w:rsid w:val="00A054C4"/>
    <w:rsid w:val="00A10C1A"/>
    <w:rsid w:val="00A12607"/>
    <w:rsid w:val="00A13842"/>
    <w:rsid w:val="00A4012F"/>
    <w:rsid w:val="00A4666D"/>
    <w:rsid w:val="00A5036D"/>
    <w:rsid w:val="00A538CE"/>
    <w:rsid w:val="00A55E19"/>
    <w:rsid w:val="00A5721B"/>
    <w:rsid w:val="00A865F5"/>
    <w:rsid w:val="00AA5442"/>
    <w:rsid w:val="00AD171B"/>
    <w:rsid w:val="00AD6D4C"/>
    <w:rsid w:val="00AE7F5E"/>
    <w:rsid w:val="00AF21ED"/>
    <w:rsid w:val="00AF3A84"/>
    <w:rsid w:val="00B04C97"/>
    <w:rsid w:val="00B2742B"/>
    <w:rsid w:val="00B33BF9"/>
    <w:rsid w:val="00B449C7"/>
    <w:rsid w:val="00B560C0"/>
    <w:rsid w:val="00B56E8B"/>
    <w:rsid w:val="00B63023"/>
    <w:rsid w:val="00B66E3A"/>
    <w:rsid w:val="00B67DF7"/>
    <w:rsid w:val="00B8691B"/>
    <w:rsid w:val="00B87F24"/>
    <w:rsid w:val="00B92019"/>
    <w:rsid w:val="00B92FAF"/>
    <w:rsid w:val="00BA4491"/>
    <w:rsid w:val="00BB01B5"/>
    <w:rsid w:val="00BB218C"/>
    <w:rsid w:val="00BB7B4F"/>
    <w:rsid w:val="00BC40AF"/>
    <w:rsid w:val="00BD29AE"/>
    <w:rsid w:val="00BE5F6D"/>
    <w:rsid w:val="00C2630A"/>
    <w:rsid w:val="00C37212"/>
    <w:rsid w:val="00C40CD3"/>
    <w:rsid w:val="00C52865"/>
    <w:rsid w:val="00C52F62"/>
    <w:rsid w:val="00C639F1"/>
    <w:rsid w:val="00C64EEC"/>
    <w:rsid w:val="00C77CB1"/>
    <w:rsid w:val="00C92133"/>
    <w:rsid w:val="00CA4A17"/>
    <w:rsid w:val="00CB4447"/>
    <w:rsid w:val="00CB5B56"/>
    <w:rsid w:val="00CB5D2A"/>
    <w:rsid w:val="00CC4D51"/>
    <w:rsid w:val="00CE3F39"/>
    <w:rsid w:val="00CF3B89"/>
    <w:rsid w:val="00CF712E"/>
    <w:rsid w:val="00D07905"/>
    <w:rsid w:val="00D11500"/>
    <w:rsid w:val="00D14E70"/>
    <w:rsid w:val="00D16517"/>
    <w:rsid w:val="00D16A57"/>
    <w:rsid w:val="00D21395"/>
    <w:rsid w:val="00D3671A"/>
    <w:rsid w:val="00D36976"/>
    <w:rsid w:val="00D46119"/>
    <w:rsid w:val="00D60108"/>
    <w:rsid w:val="00D735D8"/>
    <w:rsid w:val="00D77EB1"/>
    <w:rsid w:val="00D92ACC"/>
    <w:rsid w:val="00D9475B"/>
    <w:rsid w:val="00DC3846"/>
    <w:rsid w:val="00DC3D04"/>
    <w:rsid w:val="00DD6A97"/>
    <w:rsid w:val="00DE350A"/>
    <w:rsid w:val="00E034C4"/>
    <w:rsid w:val="00E05315"/>
    <w:rsid w:val="00E1178E"/>
    <w:rsid w:val="00E1413E"/>
    <w:rsid w:val="00E16745"/>
    <w:rsid w:val="00E24313"/>
    <w:rsid w:val="00E35D99"/>
    <w:rsid w:val="00E40211"/>
    <w:rsid w:val="00E410C1"/>
    <w:rsid w:val="00E43627"/>
    <w:rsid w:val="00E43C62"/>
    <w:rsid w:val="00E50117"/>
    <w:rsid w:val="00E639AD"/>
    <w:rsid w:val="00E7693B"/>
    <w:rsid w:val="00E846CA"/>
    <w:rsid w:val="00E90683"/>
    <w:rsid w:val="00EA41BD"/>
    <w:rsid w:val="00EA7DF2"/>
    <w:rsid w:val="00ED190B"/>
    <w:rsid w:val="00ED46B3"/>
    <w:rsid w:val="00EE2F90"/>
    <w:rsid w:val="00EE3BF5"/>
    <w:rsid w:val="00EF586D"/>
    <w:rsid w:val="00F01EC3"/>
    <w:rsid w:val="00F346A6"/>
    <w:rsid w:val="00F37B94"/>
    <w:rsid w:val="00F5277F"/>
    <w:rsid w:val="00F539A2"/>
    <w:rsid w:val="00F72A55"/>
    <w:rsid w:val="00F74C74"/>
    <w:rsid w:val="00F74E2D"/>
    <w:rsid w:val="00F84AD4"/>
    <w:rsid w:val="00F85EF2"/>
    <w:rsid w:val="00FA21B8"/>
    <w:rsid w:val="00FA2E87"/>
    <w:rsid w:val="00FA4BB0"/>
    <w:rsid w:val="00FB2F1A"/>
    <w:rsid w:val="00FC2E88"/>
    <w:rsid w:val="00FC4A0E"/>
    <w:rsid w:val="00FD42B6"/>
    <w:rsid w:val="00FE1577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46"/>
  </w:style>
  <w:style w:type="paragraph" w:styleId="1">
    <w:name w:val="heading 1"/>
    <w:basedOn w:val="a"/>
    <w:next w:val="a"/>
    <w:link w:val="10"/>
    <w:uiPriority w:val="9"/>
    <w:qFormat/>
    <w:rsid w:val="00645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539A2"/>
    <w:pPr>
      <w:keepNext/>
      <w:widowControl w:val="0"/>
      <w:shd w:val="clear" w:color="auto" w:fill="FFFFFF"/>
      <w:tabs>
        <w:tab w:val="num" w:pos="1440"/>
      </w:tabs>
      <w:suppressAutoHyphens/>
      <w:autoSpaceDE w:val="0"/>
      <w:spacing w:before="197" w:after="0" w:line="250" w:lineRule="exact"/>
      <w:ind w:left="317" w:hanging="317"/>
      <w:jc w:val="center"/>
      <w:outlineLvl w:val="1"/>
    </w:pPr>
    <w:rPr>
      <w:rFonts w:eastAsia="Times New Roman" w:cs="Times New Roman"/>
      <w:b/>
      <w:bCs/>
      <w:color w:val="000000"/>
      <w:spacing w:val="-8"/>
      <w:sz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865F5"/>
    <w:pPr>
      <w:suppressAutoHyphens/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ar-SA"/>
    </w:rPr>
  </w:style>
  <w:style w:type="character" w:customStyle="1" w:styleId="a4">
    <w:name w:val="Название Знак"/>
    <w:basedOn w:val="a0"/>
    <w:link w:val="a3"/>
    <w:rsid w:val="00A865F5"/>
    <w:rPr>
      <w:rFonts w:eastAsia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A865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65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F539A2"/>
    <w:rPr>
      <w:rFonts w:eastAsia="Times New Roman" w:cs="Times New Roman"/>
      <w:b/>
      <w:bCs/>
      <w:color w:val="000000"/>
      <w:spacing w:val="-8"/>
      <w:sz w:val="22"/>
      <w:shd w:val="clear" w:color="auto" w:fill="FFFFFF"/>
      <w:lang w:eastAsia="ar-SA"/>
    </w:rPr>
  </w:style>
  <w:style w:type="paragraph" w:styleId="a7">
    <w:name w:val="Body Text Indent"/>
    <w:basedOn w:val="a"/>
    <w:link w:val="a8"/>
    <w:rsid w:val="00F539A2"/>
    <w:pPr>
      <w:spacing w:after="120" w:line="240" w:lineRule="auto"/>
      <w:ind w:left="283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F539A2"/>
    <w:rPr>
      <w:rFonts w:eastAsia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6D6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E2D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71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504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wrap">
    <w:name w:val="js-wrap"/>
    <w:basedOn w:val="a0"/>
    <w:rsid w:val="0064504C"/>
  </w:style>
  <w:style w:type="paragraph" w:styleId="ad">
    <w:name w:val="Normal (Web)"/>
    <w:basedOn w:val="a"/>
    <w:uiPriority w:val="99"/>
    <w:semiHidden/>
    <w:unhideWhenUsed/>
    <w:rsid w:val="00645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e">
    <w:name w:val="Strong"/>
    <w:basedOn w:val="a0"/>
    <w:uiPriority w:val="22"/>
    <w:qFormat/>
    <w:rsid w:val="0064504C"/>
    <w:rPr>
      <w:b/>
      <w:bCs/>
    </w:rPr>
  </w:style>
  <w:style w:type="paragraph" w:styleId="af">
    <w:name w:val="List Paragraph"/>
    <w:basedOn w:val="a"/>
    <w:uiPriority w:val="34"/>
    <w:qFormat/>
    <w:rsid w:val="001137E5"/>
    <w:pPr>
      <w:ind w:left="720"/>
      <w:contextualSpacing/>
    </w:pPr>
  </w:style>
  <w:style w:type="paragraph" w:customStyle="1" w:styleId="21">
    <w:name w:val="Основной текст 21"/>
    <w:basedOn w:val="a"/>
    <w:rsid w:val="007805A2"/>
    <w:pPr>
      <w:widowControl w:val="0"/>
      <w:shd w:val="clear" w:color="auto" w:fill="FFFFFF"/>
      <w:suppressAutoHyphens/>
      <w:autoSpaceDE w:val="0"/>
      <w:spacing w:after="0" w:line="240" w:lineRule="auto"/>
      <w:ind w:right="14"/>
      <w:jc w:val="center"/>
    </w:pPr>
    <w:rPr>
      <w:rFonts w:eastAsia="Times New Roman" w:cs="Times New Roman"/>
      <w:b/>
      <w:bCs/>
      <w:color w:val="000000"/>
      <w:szCs w:val="3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4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6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9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ttc.org/eng/Hom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orld-tourism.org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51;&#1091;&#1075;&#1072;&#1085;&#1089;&#1100;&#1082;\&#1055;&#1088;&#1080;&#1073;&#1091;&#1090;&#1090;&#1103;%20&#1110;%20&#1074;&#1080;&#1073;&#1091;&#1090;&#1090;&#1103;%20&#1087;&#1086;%20&#1082;&#1088;&#1072;&#1111;&#1085;&#1072;&#1093;%20&#1089;&#1074;&#1110;&#1090;&#1091;%201995-201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51;&#1091;&#1075;&#1072;&#1085;&#1089;&#1100;&#1082;\&#1058;&#1077;&#1084;&#1087;&#1080;%20&#1087;&#1088;&#1080;&#1088;&#1086;&#1089;&#1090;&#1091;%20&#1076;&#1086;&#1093;&#1086;&#1076;&#1110;&#1074;%20&#1074;&#1110;&#1076;%20&#1030;&#1058;%20&#1074;%20&#1059;&#1082;&#1088;&#1072;&#1111;&#1085;&#111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1048;&#1053;&#1057;&#1058;&#1048;&#1058;&#1059;&#1058;%20&#1052;&#1045;&#1046;&#1044;&#1059;&#1053;&#1040;&#1056;&#1054;&#1044;&#1053;&#1067;&#1061;%20&#1054;&#1058;&#1053;&#1054;&#1064;&#1045;&#1053;&#1048;\&#1055;&#1059;&#1041;&#1051;&#1048;&#1050;&#1040;&#1062;&#1048;&#1048;\&#1055;&#1080;&#1096;&#1091;\&#1042;%20&#1051;&#1091;&#1075;&#1072;&#1085;&#1089;&#1100;&#1082;\&#1053;&#1086;&#1084;&#1077;&#1088;&#1085;&#1080;&#1081;%20&#1092;&#1086;&#1085;&#1076;%20&#1082;&#1088;&#1072;&#1111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545446591494831"/>
          <c:y val="0.15339552045409019"/>
          <c:w val="0.76256180362161263"/>
          <c:h val="0.81091527559055165"/>
        </c:manualLayout>
      </c:layout>
      <c:lineChart>
        <c:grouping val="standard"/>
        <c:varyColors val="0"/>
        <c:ser>
          <c:idx val="0"/>
          <c:order val="0"/>
          <c:tx>
            <c:strRef>
              <c:f>'Темпи приросту прибуттів'!$A$11</c:f>
              <c:strCache>
                <c:ptCount val="1"/>
              </c:strCache>
            </c:strRef>
          </c:tx>
          <c:marker>
            <c:symbol val="none"/>
          </c:marker>
          <c:trendline>
            <c:trendlineType val="linear"/>
            <c:dispRSqr val="0"/>
            <c:dispEq val="0"/>
          </c:trendline>
          <c:cat>
            <c:numRef>
              <c:f>'Темпи приросту прибуттів'!$B$10:$S$10</c:f>
              <c:numCache>
                <c:formatCode>0</c:formatCode>
                <c:ptCount val="1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'Темпи приросту прибуттів'!$B$11:$S$11</c:f>
              <c:numCache>
                <c:formatCode>0.0</c:formatCode>
                <c:ptCount val="18"/>
                <c:pt idx="0">
                  <c:v>2.8</c:v>
                </c:pt>
                <c:pt idx="1">
                  <c:v>3.7</c:v>
                </c:pt>
                <c:pt idx="2">
                  <c:v>96.1</c:v>
                </c:pt>
                <c:pt idx="3">
                  <c:v>-17.899999999999999</c:v>
                </c:pt>
                <c:pt idx="4">
                  <c:v>-31.8</c:v>
                </c:pt>
                <c:pt idx="5">
                  <c:v>52</c:v>
                </c:pt>
                <c:pt idx="6">
                  <c:v>42.7</c:v>
                </c:pt>
                <c:pt idx="7">
                  <c:v>14.6</c:v>
                </c:pt>
                <c:pt idx="8">
                  <c:v>19</c:v>
                </c:pt>
                <c:pt idx="9">
                  <c:v>24.9</c:v>
                </c:pt>
                <c:pt idx="10">
                  <c:v>12.8</c:v>
                </c:pt>
                <c:pt idx="11">
                  <c:v>7.4</c:v>
                </c:pt>
                <c:pt idx="12">
                  <c:v>22.1</c:v>
                </c:pt>
                <c:pt idx="13">
                  <c:v>10.1</c:v>
                </c:pt>
                <c:pt idx="14">
                  <c:v>-18.3</c:v>
                </c:pt>
                <c:pt idx="15">
                  <c:v>1.9000000000000001</c:v>
                </c:pt>
                <c:pt idx="16">
                  <c:v>1</c:v>
                </c:pt>
                <c:pt idx="17">
                  <c:v>7.5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330048"/>
        <c:axId val="32718848"/>
      </c:lineChart>
      <c:catAx>
        <c:axId val="131330048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2718848"/>
        <c:crosses val="autoZero"/>
        <c:auto val="1"/>
        <c:lblAlgn val="ctr"/>
        <c:lblOffset val="100"/>
        <c:noMultiLvlLbl val="0"/>
      </c:catAx>
      <c:valAx>
        <c:axId val="327188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330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4039652147306928E-2"/>
          <c:y val="6.0544254884806123E-2"/>
          <c:w val="0.88676792450123909"/>
          <c:h val="0.911203339165936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'WTTC Export'!$A$2:$B$2</c:f>
              <c:strCache>
                <c:ptCount val="1"/>
              </c:strCache>
            </c:strRef>
          </c:tx>
          <c:marker>
            <c:symbol val="none"/>
          </c:marker>
          <c:trendline>
            <c:trendlineType val="linear"/>
            <c:dispRSqr val="0"/>
            <c:dispEq val="0"/>
          </c:trendline>
          <c:xVal>
            <c:numRef>
              <c:f>'WTTC Export'!$C$1:$T$1</c:f>
              <c:numCache>
                <c:formatCode>General</c:formatCode>
                <c:ptCount val="1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</c:numCache>
            </c:numRef>
          </c:xVal>
          <c:yVal>
            <c:numRef>
              <c:f>'WTTC Export'!$C$2:$T$2</c:f>
              <c:numCache>
                <c:formatCode>General</c:formatCode>
                <c:ptCount val="18"/>
                <c:pt idx="0">
                  <c:v>-3</c:v>
                </c:pt>
                <c:pt idx="1">
                  <c:v>80</c:v>
                </c:pt>
                <c:pt idx="2">
                  <c:v>-8.7000000000000011</c:v>
                </c:pt>
                <c:pt idx="3">
                  <c:v>32.4</c:v>
                </c:pt>
                <c:pt idx="4">
                  <c:v>22.5</c:v>
                </c:pt>
                <c:pt idx="5">
                  <c:v>19</c:v>
                </c:pt>
                <c:pt idx="6">
                  <c:v>20.8</c:v>
                </c:pt>
                <c:pt idx="7">
                  <c:v>28.1</c:v>
                </c:pt>
                <c:pt idx="8">
                  <c:v>7.8</c:v>
                </c:pt>
                <c:pt idx="9">
                  <c:v>116.4</c:v>
                </c:pt>
                <c:pt idx="10">
                  <c:v>-3.6</c:v>
                </c:pt>
                <c:pt idx="11">
                  <c:v>-2.8</c:v>
                </c:pt>
                <c:pt idx="12">
                  <c:v>7.8</c:v>
                </c:pt>
                <c:pt idx="13">
                  <c:v>2.9</c:v>
                </c:pt>
                <c:pt idx="14">
                  <c:v>-15.8</c:v>
                </c:pt>
                <c:pt idx="15">
                  <c:v>-4</c:v>
                </c:pt>
                <c:pt idx="16">
                  <c:v>0</c:v>
                </c:pt>
                <c:pt idx="17">
                  <c:v>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743808"/>
        <c:axId val="32745344"/>
      </c:scatterChart>
      <c:valAx>
        <c:axId val="32743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2745344"/>
        <c:crosses val="autoZero"/>
        <c:crossBetween val="midCat"/>
      </c:valAx>
      <c:valAx>
        <c:axId val="3274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438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511003432263282E-2"/>
          <c:y val="7.1994147326268826E-2"/>
          <c:w val="0.9094185002575601"/>
          <c:h val="0.6574908849759029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7383177570093594E-2"/>
                  <c:y val="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180126522646209E-2"/>
                  <c:y val="1.767381150113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57264957264941E-2"/>
                  <c:y val="-7.0360617555694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61059190031178E-2"/>
                  <c:y val="-7.27504823315436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4299065420561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937694704049845E-2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53271028037408E-2"/>
                  <c:y val="1.190476190476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4610591900311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95327102803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7445482866043617E-2"/>
                  <c:y val="-7.27504823315436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937694704049845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Лист1!$A$1:$A$11</c:f>
              <c:strCache>
                <c:ptCount val="11"/>
                <c:pt idx="0">
                  <c:v>США </c:v>
                </c:pt>
                <c:pt idx="1">
                  <c:v>Китай</c:v>
                </c:pt>
                <c:pt idx="2">
                  <c:v>Італія</c:v>
                </c:pt>
                <c:pt idx="3">
                  <c:v>Німеччина</c:v>
                </c:pt>
                <c:pt idx="4">
                  <c:v>Іспанія</c:v>
                </c:pt>
                <c:pt idx="5">
                  <c:v>Великобританія</c:v>
                </c:pt>
                <c:pt idx="6">
                  <c:v>Франція</c:v>
                </c:pt>
                <c:pt idx="7">
                  <c:v>Туреччина</c:v>
                </c:pt>
                <c:pt idx="8">
                  <c:v>Росія</c:v>
                </c:pt>
                <c:pt idx="9">
                  <c:v>Малайзія</c:v>
                </c:pt>
                <c:pt idx="10">
                  <c:v>Україна</c:v>
                </c:pt>
              </c:strCache>
            </c:strRef>
          </c:cat>
          <c:val>
            <c:numRef>
              <c:f>Лист1!$B$1:$B$11</c:f>
              <c:numCache>
                <c:formatCode>0.000</c:formatCode>
                <c:ptCount val="11"/>
                <c:pt idx="0">
                  <c:v>4.8</c:v>
                </c:pt>
                <c:pt idx="1">
                  <c:v>1.7</c:v>
                </c:pt>
                <c:pt idx="2">
                  <c:v>1.1000000000000001</c:v>
                </c:pt>
                <c:pt idx="3">
                  <c:v>0.94000000000000061</c:v>
                </c:pt>
                <c:pt idx="4" formatCode="General">
                  <c:v>0.86300000000000077</c:v>
                </c:pt>
                <c:pt idx="5" formatCode="General">
                  <c:v>0.64800000000000091</c:v>
                </c:pt>
                <c:pt idx="6" formatCode="General">
                  <c:v>0.61200000000000065</c:v>
                </c:pt>
                <c:pt idx="7" formatCode="General">
                  <c:v>0.29500000000000032</c:v>
                </c:pt>
                <c:pt idx="8" formatCode="General">
                  <c:v>0.26300000000000001</c:v>
                </c:pt>
                <c:pt idx="9" formatCode="General">
                  <c:v>0.16800000000000001</c:v>
                </c:pt>
                <c:pt idx="10" formatCode="General">
                  <c:v>4.2000000000000023E-2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Лист1!$A$1:$A$11</c:f>
              <c:strCache>
                <c:ptCount val="11"/>
                <c:pt idx="0">
                  <c:v>США </c:v>
                </c:pt>
                <c:pt idx="1">
                  <c:v>Китай</c:v>
                </c:pt>
                <c:pt idx="2">
                  <c:v>Італія</c:v>
                </c:pt>
                <c:pt idx="3">
                  <c:v>Німеччина</c:v>
                </c:pt>
                <c:pt idx="4">
                  <c:v>Іспанія</c:v>
                </c:pt>
                <c:pt idx="5">
                  <c:v>Великобританія</c:v>
                </c:pt>
                <c:pt idx="6">
                  <c:v>Франція</c:v>
                </c:pt>
                <c:pt idx="7">
                  <c:v>Туреччина</c:v>
                </c:pt>
                <c:pt idx="8">
                  <c:v>Росія</c:v>
                </c:pt>
                <c:pt idx="9">
                  <c:v>Малайзія</c:v>
                </c:pt>
                <c:pt idx="10">
                  <c:v>Україна</c:v>
                </c:pt>
              </c:strCache>
            </c:strRef>
          </c:cat>
          <c:val>
            <c:numRef>
              <c:f>Лист1!$C$1:$C$11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invertIfNegative val="0"/>
          <c:cat>
            <c:strRef>
              <c:f>Лист1!$A$1:$A$11</c:f>
              <c:strCache>
                <c:ptCount val="11"/>
                <c:pt idx="0">
                  <c:v>США </c:v>
                </c:pt>
                <c:pt idx="1">
                  <c:v>Китай</c:v>
                </c:pt>
                <c:pt idx="2">
                  <c:v>Італія</c:v>
                </c:pt>
                <c:pt idx="3">
                  <c:v>Німеччина</c:v>
                </c:pt>
                <c:pt idx="4">
                  <c:v>Іспанія</c:v>
                </c:pt>
                <c:pt idx="5">
                  <c:v>Великобританія</c:v>
                </c:pt>
                <c:pt idx="6">
                  <c:v>Франція</c:v>
                </c:pt>
                <c:pt idx="7">
                  <c:v>Туреччина</c:v>
                </c:pt>
                <c:pt idx="8">
                  <c:v>Росія</c:v>
                </c:pt>
                <c:pt idx="9">
                  <c:v>Малайзія</c:v>
                </c:pt>
                <c:pt idx="10">
                  <c:v>Україна</c:v>
                </c:pt>
              </c:strCache>
            </c:strRef>
          </c:cat>
          <c:val>
            <c:numRef>
              <c:f>Лист1!$D$1:$D$11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invertIfNegative val="0"/>
          <c:cat>
            <c:strRef>
              <c:f>Лист1!$A$1:$A$11</c:f>
              <c:strCache>
                <c:ptCount val="11"/>
                <c:pt idx="0">
                  <c:v>США </c:v>
                </c:pt>
                <c:pt idx="1">
                  <c:v>Китай</c:v>
                </c:pt>
                <c:pt idx="2">
                  <c:v>Італія</c:v>
                </c:pt>
                <c:pt idx="3">
                  <c:v>Німеччина</c:v>
                </c:pt>
                <c:pt idx="4">
                  <c:v>Іспанія</c:v>
                </c:pt>
                <c:pt idx="5">
                  <c:v>Великобританія</c:v>
                </c:pt>
                <c:pt idx="6">
                  <c:v>Франція</c:v>
                </c:pt>
                <c:pt idx="7">
                  <c:v>Туреччина</c:v>
                </c:pt>
                <c:pt idx="8">
                  <c:v>Росія</c:v>
                </c:pt>
                <c:pt idx="9">
                  <c:v>Малайзія</c:v>
                </c:pt>
                <c:pt idx="10">
                  <c:v>Україна</c:v>
                </c:pt>
              </c:strCache>
            </c:strRef>
          </c:cat>
          <c:val>
            <c:numRef>
              <c:f>Лист1!$E$1:$E$11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314112"/>
        <c:axId val="34315648"/>
      </c:barChart>
      <c:catAx>
        <c:axId val="3431411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4315648"/>
        <c:crosses val="autoZero"/>
        <c:auto val="1"/>
        <c:lblAlgn val="ctr"/>
        <c:lblOffset val="100"/>
        <c:noMultiLvlLbl val="0"/>
      </c:catAx>
      <c:valAx>
        <c:axId val="343156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uk-UA"/>
                  <a:t>млн.</a:t>
                </a:r>
                <a:r>
                  <a:rPr lang="uk-UA" baseline="0"/>
                  <a:t> </a:t>
                </a:r>
                <a:endParaRPr lang="uk-UA"/>
              </a:p>
            </c:rich>
          </c:tx>
          <c:layout>
            <c:manualLayout>
              <c:xMode val="edge"/>
              <c:yMode val="edge"/>
              <c:x val="0"/>
              <c:y val="1.9913135858018066E-3"/>
            </c:manualLayout>
          </c:layout>
          <c:overlay val="0"/>
        </c:title>
        <c:numFmt formatCode="0.000" sourceLinked="1"/>
        <c:majorTickMark val="out"/>
        <c:minorTickMark val="none"/>
        <c:tickLblPos val="nextTo"/>
        <c:crossAx val="3431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5D0A-B927-4FAC-A558-E1A5EE22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6054</Words>
  <Characters>3452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~~~</cp:lastModifiedBy>
  <cp:revision>2</cp:revision>
  <dcterms:created xsi:type="dcterms:W3CDTF">2015-10-20T16:48:00Z</dcterms:created>
  <dcterms:modified xsi:type="dcterms:W3CDTF">2015-10-20T16:48:00Z</dcterms:modified>
</cp:coreProperties>
</file>