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22C" w:rsidRPr="00237A71" w:rsidRDefault="002A6921" w:rsidP="009E122C">
      <w:pPr>
        <w:spacing w:after="180"/>
        <w:rPr>
          <w:rFonts w:ascii="Times New Roman" w:eastAsia="Calibri" w:hAnsi="Times New Roman" w:cs="Times New Roman"/>
          <w:sz w:val="18"/>
          <w:szCs w:val="18"/>
        </w:rPr>
      </w:pPr>
      <w:r w:rsidRPr="00237A71">
        <w:rPr>
          <w:rFonts w:ascii="Times New Roman" w:eastAsia="Calibri" w:hAnsi="Times New Roman" w:cs="Times New Roman"/>
          <w:sz w:val="18"/>
          <w:szCs w:val="18"/>
        </w:rPr>
        <w:t xml:space="preserve">УДК </w:t>
      </w:r>
      <w:r w:rsidR="00D038C8" w:rsidRPr="00237A71">
        <w:rPr>
          <w:rFonts w:ascii="Times New Roman" w:eastAsia="Calibri" w:hAnsi="Times New Roman" w:cs="Times New Roman"/>
          <w:sz w:val="18"/>
          <w:szCs w:val="18"/>
        </w:rPr>
        <w:t>911.3</w:t>
      </w:r>
    </w:p>
    <w:p w:rsidR="009E122C" w:rsidRPr="00237A71" w:rsidRDefault="009E122C" w:rsidP="00610A43">
      <w:pPr>
        <w:spacing w:after="0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 w:rsidRPr="00237A71">
        <w:rPr>
          <w:rFonts w:ascii="Times New Roman" w:eastAsia="Calibri" w:hAnsi="Times New Roman" w:cs="Times New Roman"/>
          <w:i/>
          <w:sz w:val="18"/>
          <w:szCs w:val="18"/>
        </w:rPr>
        <w:t xml:space="preserve">В.Ю. </w:t>
      </w:r>
      <w:proofErr w:type="spellStart"/>
      <w:r w:rsidRPr="00237A71">
        <w:rPr>
          <w:rFonts w:ascii="Times New Roman" w:eastAsia="Calibri" w:hAnsi="Times New Roman" w:cs="Times New Roman"/>
          <w:i/>
          <w:sz w:val="18"/>
          <w:szCs w:val="18"/>
        </w:rPr>
        <w:t>Пестушко</w:t>
      </w:r>
      <w:proofErr w:type="spellEnd"/>
      <w:r w:rsidRPr="00237A71">
        <w:rPr>
          <w:rFonts w:ascii="Times New Roman" w:eastAsia="Calibri" w:hAnsi="Times New Roman" w:cs="Times New Roman"/>
          <w:i/>
          <w:sz w:val="18"/>
          <w:szCs w:val="18"/>
        </w:rPr>
        <w:t xml:space="preserve">, </w:t>
      </w:r>
      <w:proofErr w:type="spellStart"/>
      <w:r w:rsidRPr="00237A71">
        <w:rPr>
          <w:rFonts w:ascii="Times New Roman" w:eastAsia="Calibri" w:hAnsi="Times New Roman" w:cs="Times New Roman"/>
          <w:i/>
          <w:sz w:val="18"/>
          <w:szCs w:val="18"/>
        </w:rPr>
        <w:t>к.г.н</w:t>
      </w:r>
      <w:proofErr w:type="spellEnd"/>
      <w:r w:rsidRPr="00237A71">
        <w:rPr>
          <w:rFonts w:ascii="Times New Roman" w:eastAsia="Calibri" w:hAnsi="Times New Roman" w:cs="Times New Roman"/>
          <w:i/>
          <w:sz w:val="18"/>
          <w:szCs w:val="18"/>
        </w:rPr>
        <w:t>.,доц.</w:t>
      </w:r>
    </w:p>
    <w:p w:rsidR="009E122C" w:rsidRPr="00237A71" w:rsidRDefault="009E122C" w:rsidP="00610A43">
      <w:pPr>
        <w:spacing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237A71">
        <w:rPr>
          <w:rFonts w:ascii="Times New Roman" w:hAnsi="Times New Roman" w:cs="Times New Roman"/>
          <w:i/>
          <w:sz w:val="18"/>
          <w:szCs w:val="18"/>
        </w:rPr>
        <w:t>(Національний авіаційний університет, Україна</w:t>
      </w:r>
      <w:r w:rsidRPr="00237A71">
        <w:rPr>
          <w:rFonts w:ascii="Times New Roman" w:eastAsia="Calibri" w:hAnsi="Times New Roman" w:cs="Times New Roman"/>
          <w:i/>
          <w:sz w:val="18"/>
          <w:szCs w:val="18"/>
        </w:rPr>
        <w:t>, м. Київ</w:t>
      </w:r>
      <w:r w:rsidRPr="00237A71">
        <w:rPr>
          <w:rFonts w:ascii="Times New Roman" w:hAnsi="Times New Roman" w:cs="Times New Roman"/>
          <w:i/>
          <w:sz w:val="18"/>
          <w:szCs w:val="18"/>
        </w:rPr>
        <w:t>)</w:t>
      </w:r>
    </w:p>
    <w:p w:rsidR="009E122C" w:rsidRPr="00237A71" w:rsidRDefault="009E122C" w:rsidP="009E122C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37A71">
        <w:rPr>
          <w:rFonts w:ascii="Times New Roman" w:hAnsi="Times New Roman" w:cs="Times New Roman"/>
          <w:b/>
          <w:sz w:val="18"/>
          <w:szCs w:val="18"/>
        </w:rPr>
        <w:t xml:space="preserve">Туристичний ринок України як індикатор </w:t>
      </w:r>
      <w:r w:rsidR="006A74AC" w:rsidRPr="00237A71">
        <w:rPr>
          <w:rFonts w:ascii="Times New Roman" w:hAnsi="Times New Roman" w:cs="Times New Roman"/>
          <w:b/>
          <w:sz w:val="18"/>
          <w:szCs w:val="18"/>
        </w:rPr>
        <w:t xml:space="preserve">суспільних процесів </w:t>
      </w:r>
    </w:p>
    <w:p w:rsidR="009E122C" w:rsidRPr="00237A71" w:rsidRDefault="009E122C" w:rsidP="009E122C">
      <w:pPr>
        <w:spacing w:after="180"/>
        <w:ind w:left="284" w:right="284"/>
        <w:rPr>
          <w:rFonts w:ascii="Times New Roman" w:eastAsia="Calibri" w:hAnsi="Times New Roman" w:cs="Times New Roman"/>
          <w:i/>
          <w:sz w:val="16"/>
          <w:szCs w:val="16"/>
        </w:rPr>
      </w:pPr>
      <w:r w:rsidRPr="00237A71">
        <w:rPr>
          <w:rFonts w:ascii="Times New Roman" w:eastAsia="Calibri" w:hAnsi="Times New Roman" w:cs="Times New Roman"/>
          <w:i/>
          <w:sz w:val="16"/>
          <w:szCs w:val="16"/>
        </w:rPr>
        <w:t xml:space="preserve">Розглянуто </w:t>
      </w:r>
      <w:r w:rsidR="00610A43" w:rsidRPr="00237A71">
        <w:rPr>
          <w:rFonts w:ascii="Times New Roman" w:eastAsia="Calibri" w:hAnsi="Times New Roman" w:cs="Times New Roman"/>
          <w:i/>
          <w:sz w:val="16"/>
          <w:szCs w:val="16"/>
        </w:rPr>
        <w:t xml:space="preserve">зміни </w:t>
      </w:r>
      <w:proofErr w:type="spellStart"/>
      <w:r w:rsidR="00095A8F" w:rsidRPr="00237A71">
        <w:rPr>
          <w:rFonts w:ascii="Times New Roman" w:eastAsia="Calibri" w:hAnsi="Times New Roman" w:cs="Times New Roman"/>
          <w:i/>
          <w:sz w:val="16"/>
          <w:szCs w:val="16"/>
        </w:rPr>
        <w:t>конʼюнктур</w:t>
      </w:r>
      <w:r w:rsidR="00610A43" w:rsidRPr="00237A71">
        <w:rPr>
          <w:rFonts w:ascii="Times New Roman" w:eastAsia="Calibri" w:hAnsi="Times New Roman" w:cs="Times New Roman"/>
          <w:i/>
          <w:sz w:val="16"/>
          <w:szCs w:val="16"/>
        </w:rPr>
        <w:t>и</w:t>
      </w:r>
      <w:proofErr w:type="spellEnd"/>
      <w:r w:rsidR="00095A8F" w:rsidRPr="00237A71">
        <w:rPr>
          <w:rFonts w:ascii="Times New Roman" w:eastAsia="Calibri" w:hAnsi="Times New Roman" w:cs="Times New Roman"/>
          <w:i/>
          <w:sz w:val="16"/>
          <w:szCs w:val="16"/>
        </w:rPr>
        <w:t xml:space="preserve"> туристичного ринку України</w:t>
      </w:r>
      <w:r w:rsidR="00610A43" w:rsidRPr="00237A71">
        <w:rPr>
          <w:rFonts w:ascii="Times New Roman" w:eastAsia="Calibri" w:hAnsi="Times New Roman" w:cs="Times New Roman"/>
          <w:i/>
          <w:sz w:val="16"/>
          <w:szCs w:val="16"/>
        </w:rPr>
        <w:t xml:space="preserve"> за останні 20 років, </w:t>
      </w:r>
      <w:r w:rsidR="00095A8F" w:rsidRPr="00237A71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 w:rsidR="00610A43" w:rsidRPr="00237A71">
        <w:rPr>
          <w:rFonts w:ascii="Times New Roman" w:eastAsia="Calibri" w:hAnsi="Times New Roman" w:cs="Times New Roman"/>
          <w:i/>
          <w:sz w:val="16"/>
          <w:szCs w:val="16"/>
        </w:rPr>
        <w:t xml:space="preserve">виявлено особливості її коливання, проаналізовано причини зміни попиту і пропозиції  </w:t>
      </w:r>
      <w:r w:rsidR="00D322DE">
        <w:rPr>
          <w:rFonts w:ascii="Times New Roman" w:eastAsia="Calibri" w:hAnsi="Times New Roman" w:cs="Times New Roman"/>
          <w:i/>
          <w:sz w:val="16"/>
          <w:szCs w:val="16"/>
        </w:rPr>
        <w:t xml:space="preserve">на валовий </w:t>
      </w:r>
      <w:r w:rsidR="00610A43" w:rsidRPr="00237A71">
        <w:rPr>
          <w:rFonts w:ascii="Times New Roman" w:eastAsia="Calibri" w:hAnsi="Times New Roman" w:cs="Times New Roman"/>
          <w:i/>
          <w:sz w:val="16"/>
          <w:szCs w:val="16"/>
        </w:rPr>
        <w:t>туристичний продукт.</w:t>
      </w:r>
    </w:p>
    <w:p w:rsidR="00AC1F2B" w:rsidRPr="00237A71" w:rsidRDefault="00095A8F" w:rsidP="00AC1F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37A7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Туристичний ринок вважається досить гнучким і таким, що швидко відновлюється після дії несприятливих </w:t>
      </w:r>
      <w:r w:rsidR="00F15009" w:rsidRPr="00237A7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чинників. Разом із тим, подібно до інших ринків, </w:t>
      </w:r>
      <w:r w:rsidR="0025374C" w:rsidRPr="00237A7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він </w:t>
      </w:r>
      <w:r w:rsidR="00F15009" w:rsidRPr="00237A7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гостро реагує на </w:t>
      </w:r>
      <w:r w:rsidR="006A74AC" w:rsidRPr="00237A7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будь-які зміни у суспільстві. </w:t>
      </w:r>
      <w:r w:rsidR="00353418" w:rsidRPr="00237A7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Саме ці </w:t>
      </w:r>
      <w:r w:rsidR="006A74AC" w:rsidRPr="00237A7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зміни </w:t>
      </w:r>
      <w:r w:rsidR="00353418" w:rsidRPr="00237A7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значною мірою визначають </w:t>
      </w:r>
      <w:proofErr w:type="spellStart"/>
      <w:r w:rsidR="006A74AC" w:rsidRPr="00237A71">
        <w:rPr>
          <w:rFonts w:ascii="Times New Roman" w:eastAsia="Times New Roman" w:hAnsi="Times New Roman" w:cs="Times New Roman"/>
          <w:sz w:val="18"/>
          <w:szCs w:val="18"/>
          <w:lang w:eastAsia="uk-UA"/>
        </w:rPr>
        <w:t>к</w:t>
      </w:r>
      <w:r w:rsidR="006A74AC" w:rsidRPr="00237A71">
        <w:rPr>
          <w:rFonts w:ascii="Times New Roman" w:hAnsi="Times New Roman" w:cs="Times New Roman"/>
          <w:sz w:val="18"/>
          <w:szCs w:val="18"/>
        </w:rPr>
        <w:t>онʼюнктур</w:t>
      </w:r>
      <w:r w:rsidR="00353418" w:rsidRPr="00237A71">
        <w:rPr>
          <w:rFonts w:ascii="Times New Roman" w:hAnsi="Times New Roman" w:cs="Times New Roman"/>
          <w:sz w:val="18"/>
          <w:szCs w:val="18"/>
        </w:rPr>
        <w:t>у</w:t>
      </w:r>
      <w:proofErr w:type="spellEnd"/>
      <w:r w:rsidR="006A74AC" w:rsidRPr="00237A71">
        <w:rPr>
          <w:rFonts w:ascii="Times New Roman" w:hAnsi="Times New Roman" w:cs="Times New Roman"/>
          <w:sz w:val="18"/>
          <w:szCs w:val="18"/>
        </w:rPr>
        <w:t xml:space="preserve"> туристичного ринку </w:t>
      </w:r>
      <w:r w:rsidR="006A74AC" w:rsidRPr="00237A71">
        <w:rPr>
          <w:rFonts w:ascii="Times New Roman" w:hAnsi="Times New Roman" w:cs="Times New Roman"/>
          <w:i/>
          <w:sz w:val="18"/>
          <w:szCs w:val="18"/>
        </w:rPr>
        <w:t xml:space="preserve">– </w:t>
      </w:r>
      <w:r w:rsidR="006A74AC" w:rsidRPr="00237A71">
        <w:rPr>
          <w:rFonts w:ascii="Times New Roman" w:hAnsi="Times New Roman" w:cs="Times New Roman"/>
          <w:sz w:val="18"/>
          <w:szCs w:val="18"/>
        </w:rPr>
        <w:t>стан попиту і пропозиції на туристичний продукт на даній території за визнач</w:t>
      </w:r>
      <w:r w:rsidR="006A74AC" w:rsidRPr="00237A71">
        <w:rPr>
          <w:rFonts w:ascii="Times New Roman" w:hAnsi="Times New Roman" w:cs="Times New Roman"/>
          <w:sz w:val="18"/>
          <w:szCs w:val="18"/>
        </w:rPr>
        <w:t>е</w:t>
      </w:r>
      <w:r w:rsidR="006A74AC" w:rsidRPr="00237A71">
        <w:rPr>
          <w:rFonts w:ascii="Times New Roman" w:hAnsi="Times New Roman" w:cs="Times New Roman"/>
          <w:sz w:val="18"/>
          <w:szCs w:val="18"/>
        </w:rPr>
        <w:t xml:space="preserve">ний проміжок часу. Відомо, що </w:t>
      </w:r>
      <w:proofErr w:type="spellStart"/>
      <w:r w:rsidR="006A74AC" w:rsidRPr="00237A71">
        <w:rPr>
          <w:rFonts w:ascii="Times New Roman" w:eastAsia="Times New Roman" w:hAnsi="Times New Roman" w:cs="Times New Roman"/>
          <w:sz w:val="18"/>
          <w:szCs w:val="18"/>
          <w:lang w:eastAsia="uk-UA"/>
        </w:rPr>
        <w:t>к</w:t>
      </w:r>
      <w:r w:rsidR="006A74AC" w:rsidRPr="00237A71">
        <w:rPr>
          <w:rFonts w:ascii="Times New Roman" w:hAnsi="Times New Roman" w:cs="Times New Roman"/>
          <w:sz w:val="18"/>
          <w:szCs w:val="18"/>
        </w:rPr>
        <w:t>онʼюнктура</w:t>
      </w:r>
      <w:proofErr w:type="spellEnd"/>
      <w:r w:rsidR="006A74AC" w:rsidRPr="00237A71">
        <w:rPr>
          <w:rFonts w:ascii="Times New Roman" w:hAnsi="Times New Roman" w:cs="Times New Roman"/>
          <w:sz w:val="18"/>
          <w:szCs w:val="18"/>
        </w:rPr>
        <w:t xml:space="preserve"> туристичного ринку</w:t>
      </w:r>
      <w:r w:rsidR="003D7437" w:rsidRPr="00237A71">
        <w:rPr>
          <w:rFonts w:ascii="Times New Roman" w:hAnsi="Times New Roman" w:cs="Times New Roman"/>
          <w:sz w:val="18"/>
          <w:szCs w:val="18"/>
        </w:rPr>
        <w:t xml:space="preserve"> </w:t>
      </w:r>
      <w:r w:rsidR="006A74AC" w:rsidRPr="00237A71">
        <w:rPr>
          <w:rFonts w:ascii="Times New Roman" w:hAnsi="Times New Roman" w:cs="Times New Roman"/>
          <w:sz w:val="18"/>
          <w:szCs w:val="18"/>
        </w:rPr>
        <w:t>досить мінлив</w:t>
      </w:r>
      <w:r w:rsidR="003D7437" w:rsidRPr="00237A71">
        <w:rPr>
          <w:rFonts w:ascii="Times New Roman" w:hAnsi="Times New Roman" w:cs="Times New Roman"/>
          <w:sz w:val="18"/>
          <w:szCs w:val="18"/>
        </w:rPr>
        <w:t>а</w:t>
      </w:r>
      <w:r w:rsidR="006A74AC" w:rsidRPr="00237A71">
        <w:rPr>
          <w:rFonts w:ascii="Times New Roman" w:hAnsi="Times New Roman" w:cs="Times New Roman"/>
          <w:sz w:val="18"/>
          <w:szCs w:val="18"/>
        </w:rPr>
        <w:t xml:space="preserve"> і залежить, зокрема, від політичних, економічних, соціальних та інших процесів.</w:t>
      </w:r>
      <w:r w:rsidR="003D7437" w:rsidRPr="00237A71">
        <w:rPr>
          <w:rFonts w:ascii="Times New Roman" w:hAnsi="Times New Roman" w:cs="Times New Roman"/>
          <w:sz w:val="18"/>
          <w:szCs w:val="18"/>
        </w:rPr>
        <w:t xml:space="preserve"> Ілюстрацією сказаного є </w:t>
      </w:r>
      <w:r w:rsidR="003D7437" w:rsidRPr="00237A7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і </w:t>
      </w:r>
      <w:r w:rsidR="00F15009" w:rsidRPr="00237A71">
        <w:rPr>
          <w:rFonts w:ascii="Times New Roman" w:eastAsia="Times New Roman" w:hAnsi="Times New Roman" w:cs="Times New Roman"/>
          <w:sz w:val="18"/>
          <w:szCs w:val="18"/>
          <w:lang w:eastAsia="uk-UA"/>
        </w:rPr>
        <w:t>туристичний ринок України</w:t>
      </w:r>
      <w:r w:rsidR="003D7437" w:rsidRPr="00237A7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, де за останні два десятиліття </w:t>
      </w:r>
      <w:r w:rsidR="005F21BA" w:rsidRPr="00237A7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через політичну та соціально-економічну нестабільність </w:t>
      </w:r>
      <w:r w:rsidR="003D7437" w:rsidRPr="00237A7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співвідношення </w:t>
      </w:r>
      <w:r w:rsidR="003D7437" w:rsidRPr="00237A71">
        <w:rPr>
          <w:rFonts w:ascii="Times New Roman" w:hAnsi="Times New Roman" w:cs="Times New Roman"/>
          <w:sz w:val="18"/>
          <w:szCs w:val="18"/>
        </w:rPr>
        <w:t>попиту і пропозиції на туристичний продукт зазнавало кардинальних змін.</w:t>
      </w:r>
      <w:r w:rsidR="00D51D75" w:rsidRPr="00237A7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94CAE" w:rsidRPr="00237A71" w:rsidRDefault="0062349B" w:rsidP="00D94CAE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237A71">
        <w:rPr>
          <w:rFonts w:ascii="Times New Roman" w:hAnsi="Times New Roman" w:cs="Times New Roman"/>
          <w:iCs/>
          <w:sz w:val="18"/>
          <w:szCs w:val="18"/>
        </w:rPr>
        <w:t xml:space="preserve">Параметри, що аналізуються при дослідженні </w:t>
      </w:r>
      <w:r w:rsidRPr="00237A71">
        <w:rPr>
          <w:rFonts w:ascii="Times New Roman" w:hAnsi="Times New Roman" w:cs="Times New Roman"/>
          <w:sz w:val="18"/>
          <w:szCs w:val="18"/>
        </w:rPr>
        <w:t>к</w:t>
      </w:r>
      <w:r w:rsidRPr="00237A71">
        <w:rPr>
          <w:rFonts w:ascii="Times New Roman" w:hAnsi="Times New Roman" w:cs="Times New Roman"/>
          <w:bCs/>
          <w:sz w:val="18"/>
          <w:szCs w:val="18"/>
        </w:rPr>
        <w:t xml:space="preserve">он'юнктури </w:t>
      </w:r>
      <w:r w:rsidRPr="00237A71">
        <w:rPr>
          <w:rFonts w:ascii="Times New Roman" w:hAnsi="Times New Roman" w:cs="Times New Roman"/>
          <w:iCs/>
          <w:sz w:val="18"/>
          <w:szCs w:val="18"/>
        </w:rPr>
        <w:t xml:space="preserve">ринку туристичних послуг можна об’єднати в дві основні групи: не вартісні (обсяги туристичних потоків, </w:t>
      </w:r>
      <w:r w:rsidR="00840C62">
        <w:rPr>
          <w:rFonts w:ascii="Times New Roman" w:hAnsi="Times New Roman" w:cs="Times New Roman"/>
          <w:iCs/>
          <w:sz w:val="18"/>
          <w:szCs w:val="18"/>
        </w:rPr>
        <w:t xml:space="preserve">їх </w:t>
      </w:r>
      <w:r w:rsidRPr="00237A71">
        <w:rPr>
          <w:rFonts w:ascii="Times New Roman" w:hAnsi="Times New Roman" w:cs="Times New Roman"/>
          <w:sz w:val="18"/>
          <w:szCs w:val="18"/>
        </w:rPr>
        <w:t xml:space="preserve">динаміка, географічна структура, </w:t>
      </w:r>
      <w:r w:rsidRPr="00237A71">
        <w:rPr>
          <w:rFonts w:ascii="Times New Roman" w:hAnsi="Times New Roman" w:cs="Times New Roman"/>
          <w:iCs/>
          <w:sz w:val="18"/>
          <w:szCs w:val="18"/>
        </w:rPr>
        <w:t>частка на ринку, кількість зайнятих в туризмі) і вартісні (</w:t>
      </w:r>
      <w:r w:rsidRPr="00237A71">
        <w:rPr>
          <w:rFonts w:ascii="Times New Roman" w:hAnsi="Times New Roman" w:cs="Times New Roman"/>
          <w:sz w:val="18"/>
          <w:szCs w:val="18"/>
        </w:rPr>
        <w:t xml:space="preserve">доходи від туризму, витрати на туризм, інвестиції в туризм тощо). </w:t>
      </w:r>
      <w:r w:rsidR="00F579EA" w:rsidRPr="00237A71">
        <w:rPr>
          <w:rFonts w:ascii="Times New Roman" w:hAnsi="Times New Roman" w:cs="Times New Roman"/>
          <w:sz w:val="18"/>
          <w:szCs w:val="18"/>
        </w:rPr>
        <w:t>Слід зауважити, що використання не в</w:t>
      </w:r>
      <w:r w:rsidR="00F579EA" w:rsidRPr="00237A71">
        <w:rPr>
          <w:rFonts w:ascii="Times New Roman" w:hAnsi="Times New Roman" w:cs="Times New Roman"/>
          <w:sz w:val="18"/>
          <w:szCs w:val="18"/>
        </w:rPr>
        <w:t>а</w:t>
      </w:r>
      <w:r w:rsidR="00F579EA" w:rsidRPr="00237A71">
        <w:rPr>
          <w:rFonts w:ascii="Times New Roman" w:hAnsi="Times New Roman" w:cs="Times New Roman"/>
          <w:sz w:val="18"/>
          <w:szCs w:val="18"/>
        </w:rPr>
        <w:t>ртісних показників стану туристичного ринку України є досить проблематичним через некоректність статистичного обліку туристичних потоків. Йдеться про те, що й до сьогодні у загал</w:t>
      </w:r>
      <w:r w:rsidR="00F579EA" w:rsidRPr="00237A71">
        <w:rPr>
          <w:rFonts w:ascii="Times New Roman" w:hAnsi="Times New Roman" w:cs="Times New Roman"/>
          <w:sz w:val="18"/>
          <w:szCs w:val="18"/>
        </w:rPr>
        <w:t>ь</w:t>
      </w:r>
      <w:r w:rsidR="00F579EA" w:rsidRPr="00237A71">
        <w:rPr>
          <w:rFonts w:ascii="Times New Roman" w:hAnsi="Times New Roman" w:cs="Times New Roman"/>
          <w:sz w:val="18"/>
          <w:szCs w:val="18"/>
        </w:rPr>
        <w:t xml:space="preserve">ній кількості туристичних прибуттів враховуються </w:t>
      </w:r>
      <w:r w:rsidR="0025374C" w:rsidRPr="00237A71">
        <w:rPr>
          <w:rFonts w:ascii="Times New Roman" w:hAnsi="Times New Roman" w:cs="Times New Roman"/>
          <w:sz w:val="18"/>
          <w:szCs w:val="18"/>
        </w:rPr>
        <w:t>одноденні відвідувачі</w:t>
      </w:r>
      <w:r w:rsidR="00A11D7B" w:rsidRPr="00237A71">
        <w:rPr>
          <w:rFonts w:ascii="Times New Roman" w:hAnsi="Times New Roman" w:cs="Times New Roman"/>
          <w:sz w:val="18"/>
          <w:szCs w:val="18"/>
        </w:rPr>
        <w:t xml:space="preserve"> [</w:t>
      </w:r>
      <w:r w:rsidR="0032265E" w:rsidRPr="00237A71">
        <w:rPr>
          <w:rFonts w:ascii="Times New Roman" w:hAnsi="Times New Roman" w:cs="Times New Roman"/>
          <w:sz w:val="18"/>
          <w:szCs w:val="18"/>
        </w:rPr>
        <w:t>5</w:t>
      </w:r>
      <w:r w:rsidR="00056AF8" w:rsidRPr="00237A71">
        <w:rPr>
          <w:rFonts w:ascii="Times New Roman" w:hAnsi="Times New Roman" w:cs="Times New Roman"/>
          <w:sz w:val="18"/>
          <w:szCs w:val="18"/>
        </w:rPr>
        <w:t>,6</w:t>
      </w:r>
      <w:r w:rsidR="00A11D7B" w:rsidRPr="00237A71">
        <w:rPr>
          <w:rFonts w:ascii="Times New Roman" w:hAnsi="Times New Roman" w:cs="Times New Roman"/>
          <w:sz w:val="18"/>
          <w:szCs w:val="18"/>
        </w:rPr>
        <w:t>]</w:t>
      </w:r>
      <w:r w:rsidR="0025374C" w:rsidRPr="00237A71">
        <w:rPr>
          <w:rFonts w:ascii="Times New Roman" w:hAnsi="Times New Roman" w:cs="Times New Roman"/>
          <w:sz w:val="18"/>
          <w:szCs w:val="18"/>
        </w:rPr>
        <w:t xml:space="preserve">, що </w:t>
      </w:r>
      <w:r w:rsidR="006348F9" w:rsidRPr="00237A71">
        <w:rPr>
          <w:rFonts w:ascii="Times New Roman" w:hAnsi="Times New Roman" w:cs="Times New Roman"/>
          <w:sz w:val="18"/>
          <w:szCs w:val="18"/>
        </w:rPr>
        <w:t>супе</w:t>
      </w:r>
      <w:r w:rsidR="0025374C" w:rsidRPr="00237A71">
        <w:rPr>
          <w:rFonts w:ascii="Times New Roman" w:hAnsi="Times New Roman" w:cs="Times New Roman"/>
          <w:sz w:val="18"/>
          <w:szCs w:val="18"/>
        </w:rPr>
        <w:t>р</w:t>
      </w:r>
      <w:r w:rsidR="006348F9" w:rsidRPr="00237A71">
        <w:rPr>
          <w:rFonts w:ascii="Times New Roman" w:hAnsi="Times New Roman" w:cs="Times New Roman"/>
          <w:sz w:val="18"/>
          <w:szCs w:val="18"/>
        </w:rPr>
        <w:t xml:space="preserve">ечить </w:t>
      </w:r>
      <w:r w:rsidR="0025374C" w:rsidRPr="00237A71">
        <w:rPr>
          <w:rFonts w:ascii="Times New Roman" w:hAnsi="Times New Roman" w:cs="Times New Roman"/>
          <w:sz w:val="18"/>
          <w:szCs w:val="18"/>
        </w:rPr>
        <w:t>методологі</w:t>
      </w:r>
      <w:r w:rsidR="006348F9" w:rsidRPr="00237A71">
        <w:rPr>
          <w:rFonts w:ascii="Times New Roman" w:hAnsi="Times New Roman" w:cs="Times New Roman"/>
          <w:sz w:val="18"/>
          <w:szCs w:val="18"/>
        </w:rPr>
        <w:t>ї</w:t>
      </w:r>
      <w:r w:rsidR="0025374C" w:rsidRPr="00237A71">
        <w:rPr>
          <w:rFonts w:ascii="Times New Roman" w:hAnsi="Times New Roman" w:cs="Times New Roman"/>
          <w:sz w:val="18"/>
          <w:szCs w:val="18"/>
        </w:rPr>
        <w:t xml:space="preserve"> Всесвітньої туристичної організації (</w:t>
      </w:r>
      <w:r w:rsidR="0025374C" w:rsidRPr="00237A71">
        <w:rPr>
          <w:rFonts w:ascii="Times New Roman" w:hAnsi="Times New Roman" w:cs="Times New Roman"/>
          <w:sz w:val="18"/>
          <w:szCs w:val="18"/>
          <w:lang w:val="en-US"/>
        </w:rPr>
        <w:t>UNWTO</w:t>
      </w:r>
      <w:r w:rsidR="0025374C" w:rsidRPr="00237A71">
        <w:rPr>
          <w:rFonts w:ascii="Times New Roman" w:hAnsi="Times New Roman" w:cs="Times New Roman"/>
          <w:sz w:val="18"/>
          <w:szCs w:val="18"/>
        </w:rPr>
        <w:t>) та Всесвітньої ради з подорожей і туризму (</w:t>
      </w:r>
      <w:r w:rsidR="0025374C" w:rsidRPr="00237A71">
        <w:rPr>
          <w:rFonts w:ascii="Times New Roman" w:hAnsi="Times New Roman" w:cs="Times New Roman"/>
          <w:sz w:val="18"/>
          <w:szCs w:val="18"/>
          <w:lang w:val="en-US"/>
        </w:rPr>
        <w:t>WTTC</w:t>
      </w:r>
      <w:r w:rsidR="0025374C" w:rsidRPr="00237A71">
        <w:rPr>
          <w:rFonts w:ascii="Times New Roman" w:hAnsi="Times New Roman" w:cs="Times New Roman"/>
          <w:sz w:val="18"/>
          <w:szCs w:val="18"/>
        </w:rPr>
        <w:t>)</w:t>
      </w:r>
      <w:r w:rsidR="00701968" w:rsidRPr="00237A71">
        <w:rPr>
          <w:rFonts w:ascii="Times New Roman" w:hAnsi="Times New Roman" w:cs="Times New Roman"/>
          <w:sz w:val="18"/>
          <w:szCs w:val="18"/>
        </w:rPr>
        <w:t xml:space="preserve"> [</w:t>
      </w:r>
      <w:r w:rsidR="0032265E" w:rsidRPr="00237A71">
        <w:rPr>
          <w:rFonts w:ascii="Times New Roman" w:hAnsi="Times New Roman" w:cs="Times New Roman"/>
          <w:sz w:val="18"/>
          <w:szCs w:val="18"/>
        </w:rPr>
        <w:t>1-3</w:t>
      </w:r>
      <w:r w:rsidR="00701968" w:rsidRPr="00237A71">
        <w:rPr>
          <w:rFonts w:ascii="Times New Roman" w:hAnsi="Times New Roman" w:cs="Times New Roman"/>
          <w:sz w:val="18"/>
          <w:szCs w:val="18"/>
        </w:rPr>
        <w:t>]</w:t>
      </w:r>
      <w:r w:rsidR="00A11D7B" w:rsidRPr="00237A71">
        <w:rPr>
          <w:rFonts w:ascii="Times New Roman" w:hAnsi="Times New Roman" w:cs="Times New Roman"/>
          <w:sz w:val="18"/>
          <w:szCs w:val="18"/>
        </w:rPr>
        <w:t xml:space="preserve">. </w:t>
      </w:r>
      <w:r w:rsidR="00501C53" w:rsidRPr="00237A71">
        <w:rPr>
          <w:rFonts w:ascii="Times New Roman" w:hAnsi="Times New Roman" w:cs="Times New Roman"/>
          <w:sz w:val="18"/>
          <w:szCs w:val="18"/>
        </w:rPr>
        <w:t xml:space="preserve">З огляду на сказане, доцільніше при аналізі </w:t>
      </w:r>
      <w:proofErr w:type="spellStart"/>
      <w:r w:rsidR="00501C53" w:rsidRPr="00237A71">
        <w:rPr>
          <w:rFonts w:ascii="Times New Roman" w:hAnsi="Times New Roman" w:cs="Times New Roman"/>
          <w:sz w:val="18"/>
          <w:szCs w:val="18"/>
        </w:rPr>
        <w:t>конʼюнктури</w:t>
      </w:r>
      <w:proofErr w:type="spellEnd"/>
      <w:r w:rsidR="00501C53" w:rsidRPr="00237A71">
        <w:rPr>
          <w:rFonts w:ascii="Times New Roman" w:hAnsi="Times New Roman" w:cs="Times New Roman"/>
          <w:sz w:val="18"/>
          <w:szCs w:val="18"/>
        </w:rPr>
        <w:t xml:space="preserve"> туристичного ринку України використовувати </w:t>
      </w:r>
      <w:r w:rsidR="00501C53" w:rsidRPr="00237A71">
        <w:rPr>
          <w:rFonts w:ascii="Times New Roman" w:hAnsi="Times New Roman" w:cs="Times New Roman"/>
          <w:iCs/>
          <w:sz w:val="18"/>
          <w:szCs w:val="18"/>
        </w:rPr>
        <w:t>вартісні</w:t>
      </w:r>
      <w:r w:rsidR="00D9764C" w:rsidRPr="00237A71">
        <w:rPr>
          <w:rFonts w:ascii="Times New Roman" w:hAnsi="Times New Roman" w:cs="Times New Roman"/>
          <w:iCs/>
          <w:sz w:val="18"/>
          <w:szCs w:val="18"/>
        </w:rPr>
        <w:t xml:space="preserve"> показники. </w:t>
      </w:r>
    </w:p>
    <w:p w:rsidR="001F3990" w:rsidRPr="00237A71" w:rsidRDefault="00161EC9" w:rsidP="002B3E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237A71">
        <w:rPr>
          <w:rFonts w:ascii="Times New Roman" w:hAnsi="Times New Roman" w:cs="Times New Roman"/>
          <w:bCs/>
          <w:iCs/>
          <w:sz w:val="18"/>
          <w:szCs w:val="18"/>
        </w:rPr>
        <w:t>Серед вартісних показників, які характеризують ситуацію на туристичному ринку</w:t>
      </w:r>
      <w:r w:rsidR="00253E7C" w:rsidRPr="00237A71">
        <w:rPr>
          <w:rFonts w:ascii="Times New Roman" w:hAnsi="Times New Roman" w:cs="Times New Roman"/>
          <w:bCs/>
          <w:iCs/>
          <w:sz w:val="18"/>
          <w:szCs w:val="18"/>
        </w:rPr>
        <w:t>,</w:t>
      </w:r>
      <w:r w:rsidRPr="00237A71">
        <w:rPr>
          <w:rFonts w:ascii="Times New Roman" w:hAnsi="Times New Roman" w:cs="Times New Roman"/>
          <w:bCs/>
          <w:iCs/>
          <w:sz w:val="18"/>
          <w:szCs w:val="18"/>
        </w:rPr>
        <w:t xml:space="preserve"> найважливішим, на нашу думку, є </w:t>
      </w:r>
      <w:r w:rsidRPr="00237A71">
        <w:rPr>
          <w:rFonts w:ascii="Times New Roman" w:hAnsi="Times New Roman" w:cs="Times New Roman"/>
          <w:sz w:val="18"/>
          <w:szCs w:val="18"/>
        </w:rPr>
        <w:t>валовий туристичний продукт</w:t>
      </w:r>
      <w:r w:rsidR="00A0246D" w:rsidRPr="00237A71">
        <w:rPr>
          <w:rFonts w:ascii="Times New Roman" w:hAnsi="Times New Roman" w:cs="Times New Roman"/>
          <w:sz w:val="18"/>
          <w:szCs w:val="18"/>
        </w:rPr>
        <w:t xml:space="preserve"> (ВТП)</w:t>
      </w:r>
      <w:r w:rsidRPr="00237A71">
        <w:rPr>
          <w:rFonts w:ascii="Times New Roman" w:hAnsi="Times New Roman" w:cs="Times New Roman"/>
          <w:sz w:val="18"/>
          <w:szCs w:val="18"/>
        </w:rPr>
        <w:t xml:space="preserve">. </w:t>
      </w:r>
      <w:r w:rsidR="00601777" w:rsidRPr="00237A71">
        <w:rPr>
          <w:rFonts w:ascii="Times New Roman" w:hAnsi="Times New Roman" w:cs="Times New Roman"/>
          <w:sz w:val="18"/>
          <w:szCs w:val="18"/>
        </w:rPr>
        <w:t>Він визначається як с</w:t>
      </w:r>
      <w:r w:rsidR="00601777" w:rsidRPr="00237A71">
        <w:rPr>
          <w:rFonts w:ascii="Times New Roman" w:hAnsi="Times New Roman" w:cs="Times New Roman"/>
          <w:sz w:val="18"/>
          <w:szCs w:val="18"/>
          <w:lang w:eastAsia="uk-UA"/>
        </w:rPr>
        <w:t>у</w:t>
      </w:r>
      <w:r w:rsidR="00601777" w:rsidRPr="00237A71">
        <w:rPr>
          <w:rFonts w:ascii="Times New Roman" w:hAnsi="Times New Roman" w:cs="Times New Roman"/>
          <w:sz w:val="18"/>
          <w:szCs w:val="18"/>
          <w:lang w:eastAsia="uk-UA"/>
        </w:rPr>
        <w:t xml:space="preserve">марний обсяг товарів і послуг, вироблених в індустрії туризму </w:t>
      </w:r>
      <w:r w:rsidR="00601777" w:rsidRPr="00237A71">
        <w:rPr>
          <w:rFonts w:ascii="Times New Roman" w:hAnsi="Times New Roman" w:cs="Times New Roman"/>
          <w:sz w:val="18"/>
          <w:szCs w:val="18"/>
        </w:rPr>
        <w:t xml:space="preserve">за певний період часу на певній території </w:t>
      </w:r>
      <w:r w:rsidR="00601777" w:rsidRPr="00237A71">
        <w:rPr>
          <w:rFonts w:ascii="Times New Roman" w:hAnsi="Times New Roman" w:cs="Times New Roman"/>
          <w:sz w:val="18"/>
          <w:szCs w:val="18"/>
          <w:lang w:val="ru-RU"/>
        </w:rPr>
        <w:t>[</w:t>
      </w:r>
      <w:r w:rsidR="0032265E" w:rsidRPr="00237A71">
        <w:rPr>
          <w:rFonts w:ascii="Times New Roman" w:hAnsi="Times New Roman" w:cs="Times New Roman"/>
          <w:sz w:val="18"/>
          <w:szCs w:val="18"/>
        </w:rPr>
        <w:t>4</w:t>
      </w:r>
      <w:r w:rsidR="00601777" w:rsidRPr="00237A71">
        <w:rPr>
          <w:rFonts w:ascii="Times New Roman" w:hAnsi="Times New Roman" w:cs="Times New Roman"/>
          <w:sz w:val="18"/>
          <w:szCs w:val="18"/>
          <w:lang w:val="ru-RU"/>
        </w:rPr>
        <w:t>]</w:t>
      </w:r>
      <w:r w:rsidR="00601777" w:rsidRPr="00237A71">
        <w:rPr>
          <w:rFonts w:ascii="Times New Roman" w:hAnsi="Times New Roman" w:cs="Times New Roman"/>
          <w:sz w:val="18"/>
          <w:szCs w:val="18"/>
        </w:rPr>
        <w:t xml:space="preserve">. </w:t>
      </w:r>
      <w:r w:rsidR="000865F2" w:rsidRPr="00237A71">
        <w:rPr>
          <w:rFonts w:ascii="Times New Roman" w:hAnsi="Times New Roman" w:cs="Times New Roman"/>
          <w:sz w:val="18"/>
          <w:szCs w:val="18"/>
        </w:rPr>
        <w:t xml:space="preserve">Інформацію про </w:t>
      </w:r>
      <w:r w:rsidR="003320F0" w:rsidRPr="00237A71">
        <w:rPr>
          <w:rFonts w:ascii="Times New Roman" w:hAnsi="Times New Roman" w:cs="Times New Roman"/>
          <w:sz w:val="18"/>
          <w:szCs w:val="18"/>
        </w:rPr>
        <w:t xml:space="preserve">ВТП </w:t>
      </w:r>
      <w:r w:rsidR="000865F2" w:rsidRPr="00237A71">
        <w:rPr>
          <w:rFonts w:ascii="Times New Roman" w:hAnsi="Times New Roman" w:cs="Times New Roman"/>
          <w:sz w:val="18"/>
          <w:szCs w:val="18"/>
        </w:rPr>
        <w:t xml:space="preserve">України </w:t>
      </w:r>
      <w:r w:rsidR="003320F0" w:rsidRPr="00237A71">
        <w:rPr>
          <w:rFonts w:ascii="Times New Roman" w:hAnsi="Times New Roman" w:cs="Times New Roman"/>
          <w:sz w:val="18"/>
          <w:szCs w:val="18"/>
        </w:rPr>
        <w:t>можна знайти на сайті Всесвітньої ради з под</w:t>
      </w:r>
      <w:r w:rsidR="003320F0" w:rsidRPr="00237A71">
        <w:rPr>
          <w:rFonts w:ascii="Times New Roman" w:hAnsi="Times New Roman" w:cs="Times New Roman"/>
          <w:sz w:val="18"/>
          <w:szCs w:val="18"/>
        </w:rPr>
        <w:t>о</w:t>
      </w:r>
      <w:r w:rsidR="003320F0" w:rsidRPr="00237A71">
        <w:rPr>
          <w:rFonts w:ascii="Times New Roman" w:hAnsi="Times New Roman" w:cs="Times New Roman"/>
          <w:sz w:val="18"/>
          <w:szCs w:val="18"/>
        </w:rPr>
        <w:t>рожей і туризму</w:t>
      </w:r>
      <w:r w:rsidR="009F6CB3" w:rsidRPr="00237A71">
        <w:rPr>
          <w:rFonts w:ascii="Times New Roman" w:hAnsi="Times New Roman" w:cs="Times New Roman"/>
          <w:sz w:val="18"/>
          <w:szCs w:val="18"/>
        </w:rPr>
        <w:t xml:space="preserve">, де </w:t>
      </w:r>
      <w:r w:rsidR="000865F2" w:rsidRPr="00237A71">
        <w:rPr>
          <w:rFonts w:ascii="Times New Roman" w:hAnsi="Times New Roman" w:cs="Times New Roman"/>
          <w:sz w:val="18"/>
          <w:szCs w:val="18"/>
        </w:rPr>
        <w:t xml:space="preserve">наведені дані щодо загального внеску туризму у </w:t>
      </w:r>
      <w:r w:rsidR="003D670D" w:rsidRPr="00237A71">
        <w:rPr>
          <w:rFonts w:ascii="Times New Roman" w:hAnsi="Times New Roman" w:cs="Times New Roman"/>
          <w:sz w:val="18"/>
          <w:szCs w:val="18"/>
        </w:rPr>
        <w:t xml:space="preserve">валовий внутрішній продукт </w:t>
      </w:r>
      <w:r w:rsidR="000865F2" w:rsidRPr="00237A71">
        <w:rPr>
          <w:rFonts w:ascii="Times New Roman" w:hAnsi="Times New Roman" w:cs="Times New Roman"/>
          <w:sz w:val="18"/>
          <w:szCs w:val="18"/>
        </w:rPr>
        <w:t>країни (</w:t>
      </w:r>
      <w:proofErr w:type="spellStart"/>
      <w:r w:rsidR="009F6CB3" w:rsidRPr="00237A71">
        <w:rPr>
          <w:rFonts w:ascii="Times New Roman" w:eastAsia="Times New Roman" w:hAnsi="Times New Roman" w:cs="Times New Roman"/>
          <w:sz w:val="18"/>
          <w:szCs w:val="18"/>
          <w:lang w:eastAsia="uk-UA"/>
        </w:rPr>
        <w:t>Total</w:t>
      </w:r>
      <w:proofErr w:type="spellEnd"/>
      <w:r w:rsidR="009F6CB3" w:rsidRPr="00237A7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proofErr w:type="spellStart"/>
      <w:r w:rsidR="009F6CB3" w:rsidRPr="00237A71">
        <w:rPr>
          <w:rFonts w:ascii="Times New Roman" w:eastAsia="Times New Roman" w:hAnsi="Times New Roman" w:cs="Times New Roman"/>
          <w:sz w:val="18"/>
          <w:szCs w:val="18"/>
          <w:lang w:eastAsia="uk-UA"/>
        </w:rPr>
        <w:t>Travel</w:t>
      </w:r>
      <w:proofErr w:type="spellEnd"/>
      <w:r w:rsidR="009F6CB3" w:rsidRPr="00237A7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&amp; </w:t>
      </w:r>
      <w:proofErr w:type="spellStart"/>
      <w:r w:rsidR="009F6CB3" w:rsidRPr="00237A71">
        <w:rPr>
          <w:rFonts w:ascii="Times New Roman" w:eastAsia="Times New Roman" w:hAnsi="Times New Roman" w:cs="Times New Roman"/>
          <w:sz w:val="18"/>
          <w:szCs w:val="18"/>
          <w:lang w:eastAsia="uk-UA"/>
        </w:rPr>
        <w:t>Tourism</w:t>
      </w:r>
      <w:proofErr w:type="spellEnd"/>
      <w:r w:rsidR="009F6CB3" w:rsidRPr="00237A7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proofErr w:type="spellStart"/>
      <w:r w:rsidR="009F6CB3" w:rsidRPr="00237A71">
        <w:rPr>
          <w:rFonts w:ascii="Times New Roman" w:eastAsia="Times New Roman" w:hAnsi="Times New Roman" w:cs="Times New Roman"/>
          <w:sz w:val="18"/>
          <w:szCs w:val="18"/>
          <w:lang w:eastAsia="uk-UA"/>
        </w:rPr>
        <w:t>Contribution</w:t>
      </w:r>
      <w:proofErr w:type="spellEnd"/>
      <w:r w:rsidR="000865F2" w:rsidRPr="00237A7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proofErr w:type="spellStart"/>
      <w:r w:rsidR="000865F2" w:rsidRPr="00237A71">
        <w:rPr>
          <w:rFonts w:ascii="Times New Roman" w:eastAsia="Times New Roman" w:hAnsi="Times New Roman" w:cs="Times New Roman"/>
          <w:sz w:val="18"/>
          <w:szCs w:val="18"/>
          <w:lang w:eastAsia="uk-UA"/>
        </w:rPr>
        <w:t>to</w:t>
      </w:r>
      <w:proofErr w:type="spellEnd"/>
      <w:r w:rsidR="000865F2" w:rsidRPr="00237A7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GDP).</w:t>
      </w:r>
      <w:r w:rsidR="00FE21A5" w:rsidRPr="00237A7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="00566204" w:rsidRPr="00237A71">
        <w:rPr>
          <w:rFonts w:ascii="Times New Roman" w:eastAsia="Times New Roman" w:hAnsi="Times New Roman" w:cs="Times New Roman"/>
          <w:sz w:val="18"/>
          <w:szCs w:val="18"/>
          <w:lang w:eastAsia="uk-UA"/>
        </w:rPr>
        <w:t>За цими даними нами бу</w:t>
      </w:r>
      <w:r w:rsidR="00F525FB" w:rsidRPr="00237A71">
        <w:rPr>
          <w:rFonts w:ascii="Times New Roman" w:eastAsia="Times New Roman" w:hAnsi="Times New Roman" w:cs="Times New Roman"/>
          <w:sz w:val="18"/>
          <w:szCs w:val="18"/>
          <w:lang w:eastAsia="uk-UA"/>
        </w:rPr>
        <w:t>ла</w:t>
      </w:r>
      <w:r w:rsidR="00566204" w:rsidRPr="00237A7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побудов</w:t>
      </w:r>
      <w:r w:rsidR="00566204" w:rsidRPr="00237A71">
        <w:rPr>
          <w:rFonts w:ascii="Times New Roman" w:eastAsia="Times New Roman" w:hAnsi="Times New Roman" w:cs="Times New Roman"/>
          <w:sz w:val="18"/>
          <w:szCs w:val="18"/>
          <w:lang w:eastAsia="uk-UA"/>
        </w:rPr>
        <w:t>а</w:t>
      </w:r>
      <w:r w:rsidR="00566204" w:rsidRPr="00237A71">
        <w:rPr>
          <w:rFonts w:ascii="Times New Roman" w:eastAsia="Times New Roman" w:hAnsi="Times New Roman" w:cs="Times New Roman"/>
          <w:sz w:val="18"/>
          <w:szCs w:val="18"/>
          <w:lang w:eastAsia="uk-UA"/>
        </w:rPr>
        <w:t>н</w:t>
      </w:r>
      <w:r w:rsidR="00A45739" w:rsidRPr="00237A71">
        <w:rPr>
          <w:rFonts w:ascii="Times New Roman" w:eastAsia="Times New Roman" w:hAnsi="Times New Roman" w:cs="Times New Roman"/>
          <w:sz w:val="18"/>
          <w:szCs w:val="18"/>
          <w:lang w:eastAsia="uk-UA"/>
        </w:rPr>
        <w:t>а</w:t>
      </w:r>
      <w:r w:rsidR="00566204" w:rsidRPr="00237A7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="00A45739" w:rsidRPr="00237A7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діаграма, що відображає </w:t>
      </w:r>
      <w:r w:rsidR="00566204" w:rsidRPr="00237A71">
        <w:rPr>
          <w:rFonts w:ascii="Times New Roman" w:eastAsia="Times New Roman" w:hAnsi="Times New Roman" w:cs="Times New Roman"/>
          <w:sz w:val="18"/>
          <w:szCs w:val="18"/>
          <w:lang w:eastAsia="uk-UA"/>
        </w:rPr>
        <w:t>д</w:t>
      </w:r>
      <w:r w:rsidR="001F3990" w:rsidRPr="00237A71">
        <w:rPr>
          <w:rFonts w:ascii="Times New Roman" w:eastAsia="Times New Roman" w:hAnsi="Times New Roman" w:cs="Times New Roman"/>
          <w:sz w:val="18"/>
          <w:szCs w:val="18"/>
          <w:lang w:eastAsia="uk-UA"/>
        </w:rPr>
        <w:t>инамік</w:t>
      </w:r>
      <w:r w:rsidR="00A45739" w:rsidRPr="00237A71">
        <w:rPr>
          <w:rFonts w:ascii="Times New Roman" w:eastAsia="Times New Roman" w:hAnsi="Times New Roman" w:cs="Times New Roman"/>
          <w:sz w:val="18"/>
          <w:szCs w:val="18"/>
          <w:lang w:eastAsia="uk-UA"/>
        </w:rPr>
        <w:t>у</w:t>
      </w:r>
      <w:r w:rsidR="001F3990" w:rsidRPr="00237A7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="0079268A" w:rsidRPr="00237A71">
        <w:rPr>
          <w:rFonts w:ascii="Times New Roman" w:eastAsia="Times New Roman" w:hAnsi="Times New Roman" w:cs="Times New Roman"/>
          <w:sz w:val="18"/>
          <w:szCs w:val="18"/>
          <w:lang w:eastAsia="uk-UA"/>
        </w:rPr>
        <w:t>ВТ</w:t>
      </w:r>
      <w:r w:rsidR="001F3990" w:rsidRPr="00237A7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П України </w:t>
      </w:r>
      <w:r w:rsidR="00566204" w:rsidRPr="00237A71">
        <w:rPr>
          <w:rFonts w:ascii="Times New Roman" w:eastAsia="Times New Roman" w:hAnsi="Times New Roman" w:cs="Times New Roman"/>
          <w:sz w:val="18"/>
          <w:szCs w:val="18"/>
          <w:lang w:eastAsia="uk-UA"/>
        </w:rPr>
        <w:t>упродовж</w:t>
      </w:r>
      <w:r w:rsidR="001F3990" w:rsidRPr="00237A7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останні</w:t>
      </w:r>
      <w:r w:rsidR="00566204" w:rsidRPr="00237A71">
        <w:rPr>
          <w:rFonts w:ascii="Times New Roman" w:eastAsia="Times New Roman" w:hAnsi="Times New Roman" w:cs="Times New Roman"/>
          <w:sz w:val="18"/>
          <w:szCs w:val="18"/>
          <w:lang w:eastAsia="uk-UA"/>
        </w:rPr>
        <w:t>х</w:t>
      </w:r>
      <w:r w:rsidR="001F3990" w:rsidRPr="00237A7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дв</w:t>
      </w:r>
      <w:r w:rsidR="00566204" w:rsidRPr="00237A71">
        <w:rPr>
          <w:rFonts w:ascii="Times New Roman" w:eastAsia="Times New Roman" w:hAnsi="Times New Roman" w:cs="Times New Roman"/>
          <w:sz w:val="18"/>
          <w:szCs w:val="18"/>
          <w:lang w:eastAsia="uk-UA"/>
        </w:rPr>
        <w:t>ох</w:t>
      </w:r>
      <w:r w:rsidR="001F3990" w:rsidRPr="00237A7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десятиліт</w:t>
      </w:r>
      <w:r w:rsidR="00566204" w:rsidRPr="00237A71">
        <w:rPr>
          <w:rFonts w:ascii="Times New Roman" w:eastAsia="Times New Roman" w:hAnsi="Times New Roman" w:cs="Times New Roman"/>
          <w:sz w:val="18"/>
          <w:szCs w:val="18"/>
          <w:lang w:eastAsia="uk-UA"/>
        </w:rPr>
        <w:t>ь</w:t>
      </w:r>
      <w:r w:rsidR="001F3990" w:rsidRPr="00237A7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="00566204" w:rsidRPr="00237A71">
        <w:rPr>
          <w:rFonts w:ascii="Times New Roman" w:eastAsia="Times New Roman" w:hAnsi="Times New Roman" w:cs="Times New Roman"/>
          <w:sz w:val="18"/>
          <w:szCs w:val="18"/>
          <w:lang w:eastAsia="uk-UA"/>
        </w:rPr>
        <w:t>(</w:t>
      </w:r>
      <w:r w:rsidR="001F3990" w:rsidRPr="00237A71">
        <w:rPr>
          <w:rFonts w:ascii="Times New Roman" w:eastAsia="Times New Roman" w:hAnsi="Times New Roman" w:cs="Times New Roman"/>
          <w:sz w:val="18"/>
          <w:szCs w:val="18"/>
          <w:lang w:eastAsia="uk-UA"/>
        </w:rPr>
        <w:t>рис.1.</w:t>
      </w:r>
      <w:r w:rsidR="00566204" w:rsidRPr="00237A71">
        <w:rPr>
          <w:rFonts w:ascii="Times New Roman" w:eastAsia="Times New Roman" w:hAnsi="Times New Roman" w:cs="Times New Roman"/>
          <w:sz w:val="18"/>
          <w:szCs w:val="18"/>
          <w:lang w:eastAsia="uk-UA"/>
        </w:rPr>
        <w:t>).</w:t>
      </w:r>
    </w:p>
    <w:p w:rsidR="001F3990" w:rsidRPr="00237A71" w:rsidRDefault="001F3990" w:rsidP="00CF267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237A71">
        <w:rPr>
          <w:noProof/>
          <w:lang w:eastAsia="uk-UA"/>
        </w:rPr>
        <w:drawing>
          <wp:inline distT="0" distB="0" distL="0" distR="0" wp14:anchorId="2733E980" wp14:editId="0D919704">
            <wp:extent cx="9029700" cy="238125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F2671" w:rsidRPr="00237A71" w:rsidRDefault="00CF2671" w:rsidP="00F629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p w:rsidR="001F3990" w:rsidRPr="00237A71" w:rsidRDefault="00F629AC" w:rsidP="00F629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237A71">
        <w:rPr>
          <w:rFonts w:ascii="Times New Roman" w:eastAsia="Times New Roman" w:hAnsi="Times New Roman" w:cs="Times New Roman"/>
          <w:sz w:val="16"/>
          <w:szCs w:val="16"/>
          <w:lang w:eastAsia="uk-UA"/>
        </w:rPr>
        <w:t>Рис.1. Динаміка валового туристичного продукту України, млрд. дол. США</w:t>
      </w:r>
      <w:r w:rsidR="007B1A1A" w:rsidRPr="00237A71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</w:p>
    <w:p w:rsidR="00431DA5" w:rsidRPr="00237A71" w:rsidRDefault="00BB37C6" w:rsidP="00BB3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237A71">
        <w:rPr>
          <w:rFonts w:ascii="Times New Roman" w:eastAsia="Times New Roman" w:hAnsi="Times New Roman" w:cs="Times New Roman"/>
          <w:sz w:val="18"/>
          <w:szCs w:val="18"/>
          <w:lang w:eastAsia="uk-UA"/>
        </w:rPr>
        <w:lastRenderedPageBreak/>
        <w:t xml:space="preserve">За методологією </w:t>
      </w:r>
      <w:r w:rsidRPr="00237A71">
        <w:rPr>
          <w:rFonts w:ascii="Times New Roman" w:hAnsi="Times New Roman" w:cs="Times New Roman"/>
          <w:sz w:val="18"/>
          <w:szCs w:val="18"/>
          <w:lang w:val="en-US"/>
        </w:rPr>
        <w:t>WTTC</w:t>
      </w:r>
      <w:r w:rsidRPr="00237A71">
        <w:rPr>
          <w:rFonts w:ascii="Times New Roman" w:hAnsi="Times New Roman" w:cs="Times New Roman"/>
          <w:sz w:val="18"/>
          <w:szCs w:val="18"/>
        </w:rPr>
        <w:t xml:space="preserve">, </w:t>
      </w:r>
      <w:r w:rsidRPr="00237A71">
        <w:rPr>
          <w:rFonts w:ascii="Times New Roman" w:eastAsia="Times New Roman" w:hAnsi="Times New Roman" w:cs="Times New Roman"/>
          <w:sz w:val="18"/>
          <w:szCs w:val="18"/>
          <w:lang w:eastAsia="uk-UA"/>
        </w:rPr>
        <w:t>найважливішими складовими ВТП є доходи від іноземного туризму (</w:t>
      </w:r>
      <w:proofErr w:type="spellStart"/>
      <w:r w:rsidRPr="00237A71">
        <w:rPr>
          <w:rFonts w:ascii="Times New Roman" w:hAnsi="Times New Roman" w:cs="Times New Roman"/>
          <w:sz w:val="18"/>
          <w:szCs w:val="18"/>
        </w:rPr>
        <w:t>Visitor</w:t>
      </w:r>
      <w:proofErr w:type="spellEnd"/>
      <w:r w:rsidRPr="00237A7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37A71">
        <w:rPr>
          <w:rFonts w:ascii="Times New Roman" w:hAnsi="Times New Roman" w:cs="Times New Roman"/>
          <w:sz w:val="18"/>
          <w:szCs w:val="18"/>
        </w:rPr>
        <w:t>Exports</w:t>
      </w:r>
      <w:proofErr w:type="spellEnd"/>
      <w:r w:rsidRPr="00237A71">
        <w:rPr>
          <w:rFonts w:ascii="Times New Roman" w:eastAsia="Times New Roman" w:hAnsi="Times New Roman" w:cs="Times New Roman"/>
          <w:sz w:val="18"/>
          <w:szCs w:val="18"/>
          <w:lang w:eastAsia="uk-UA"/>
        </w:rPr>
        <w:t>), доходи від внутрішнього туризму (</w:t>
      </w:r>
      <w:proofErr w:type="spellStart"/>
      <w:r w:rsidRPr="00237A71">
        <w:rPr>
          <w:rFonts w:ascii="Times New Roman" w:hAnsi="Times New Roman" w:cs="Times New Roman"/>
          <w:sz w:val="18"/>
          <w:szCs w:val="18"/>
        </w:rPr>
        <w:t>Domestic</w:t>
      </w:r>
      <w:proofErr w:type="spellEnd"/>
      <w:r w:rsidRPr="00237A7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37A71">
        <w:rPr>
          <w:rFonts w:ascii="Times New Roman" w:hAnsi="Times New Roman" w:cs="Times New Roman"/>
          <w:sz w:val="18"/>
          <w:szCs w:val="18"/>
        </w:rPr>
        <w:t>Travel</w:t>
      </w:r>
      <w:proofErr w:type="spellEnd"/>
      <w:r w:rsidRPr="00237A71">
        <w:rPr>
          <w:rFonts w:ascii="Times New Roman" w:hAnsi="Times New Roman" w:cs="Times New Roman"/>
          <w:sz w:val="18"/>
          <w:szCs w:val="18"/>
        </w:rPr>
        <w:t xml:space="preserve"> &amp; </w:t>
      </w:r>
      <w:proofErr w:type="spellStart"/>
      <w:r w:rsidRPr="00237A71">
        <w:rPr>
          <w:rFonts w:ascii="Times New Roman" w:hAnsi="Times New Roman" w:cs="Times New Roman"/>
          <w:sz w:val="18"/>
          <w:szCs w:val="18"/>
        </w:rPr>
        <w:t>Tourism</w:t>
      </w:r>
      <w:proofErr w:type="spellEnd"/>
      <w:r w:rsidRPr="00237A7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37A71">
        <w:rPr>
          <w:rFonts w:ascii="Times New Roman" w:hAnsi="Times New Roman" w:cs="Times New Roman"/>
          <w:sz w:val="18"/>
          <w:szCs w:val="18"/>
        </w:rPr>
        <w:t>Spending</w:t>
      </w:r>
      <w:proofErr w:type="spellEnd"/>
      <w:r w:rsidRPr="00237A7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), так звані індивідуальні урядові витрати на туризм – витрати, що безпосередньо </w:t>
      </w:r>
      <w:proofErr w:type="spellStart"/>
      <w:r w:rsidRPr="00237A71">
        <w:rPr>
          <w:rFonts w:ascii="Times New Roman" w:eastAsia="Times New Roman" w:hAnsi="Times New Roman" w:cs="Times New Roman"/>
          <w:sz w:val="18"/>
          <w:szCs w:val="18"/>
          <w:lang w:eastAsia="uk-UA"/>
        </w:rPr>
        <w:t>повʼязані</w:t>
      </w:r>
      <w:proofErr w:type="spellEnd"/>
      <w:r w:rsidRPr="00237A7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з туристами (</w:t>
      </w:r>
      <w:proofErr w:type="spellStart"/>
      <w:r w:rsidRPr="00237A71">
        <w:rPr>
          <w:rFonts w:ascii="Times New Roman" w:hAnsi="Times New Roman" w:cs="Times New Roman"/>
          <w:sz w:val="18"/>
          <w:szCs w:val="18"/>
        </w:rPr>
        <w:t>Government</w:t>
      </w:r>
      <w:proofErr w:type="spellEnd"/>
      <w:r w:rsidRPr="00237A7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37A71">
        <w:rPr>
          <w:rFonts w:ascii="Times New Roman" w:hAnsi="Times New Roman" w:cs="Times New Roman"/>
          <w:sz w:val="18"/>
          <w:szCs w:val="18"/>
        </w:rPr>
        <w:t>Individual</w:t>
      </w:r>
      <w:proofErr w:type="spellEnd"/>
      <w:r w:rsidRPr="00237A7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37A71">
        <w:rPr>
          <w:rFonts w:ascii="Times New Roman" w:hAnsi="Times New Roman" w:cs="Times New Roman"/>
          <w:sz w:val="18"/>
          <w:szCs w:val="18"/>
        </w:rPr>
        <w:t>Travel</w:t>
      </w:r>
      <w:proofErr w:type="spellEnd"/>
      <w:r w:rsidRPr="00237A71">
        <w:rPr>
          <w:rFonts w:ascii="Times New Roman" w:hAnsi="Times New Roman" w:cs="Times New Roman"/>
          <w:sz w:val="18"/>
          <w:szCs w:val="18"/>
        </w:rPr>
        <w:t xml:space="preserve"> &amp; </w:t>
      </w:r>
      <w:proofErr w:type="spellStart"/>
      <w:r w:rsidRPr="00237A71">
        <w:rPr>
          <w:rFonts w:ascii="Times New Roman" w:hAnsi="Times New Roman" w:cs="Times New Roman"/>
          <w:sz w:val="18"/>
          <w:szCs w:val="18"/>
        </w:rPr>
        <w:t>Tourism</w:t>
      </w:r>
      <w:proofErr w:type="spellEnd"/>
      <w:r w:rsidRPr="00237A7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37A71">
        <w:rPr>
          <w:rFonts w:ascii="Times New Roman" w:hAnsi="Times New Roman" w:cs="Times New Roman"/>
          <w:sz w:val="18"/>
          <w:szCs w:val="18"/>
        </w:rPr>
        <w:t>Spending</w:t>
      </w:r>
      <w:proofErr w:type="spellEnd"/>
      <w:r w:rsidRPr="00237A71">
        <w:rPr>
          <w:rFonts w:ascii="Times New Roman" w:eastAsia="Times New Roman" w:hAnsi="Times New Roman" w:cs="Times New Roman"/>
          <w:sz w:val="18"/>
          <w:szCs w:val="18"/>
          <w:lang w:eastAsia="uk-UA"/>
        </w:rPr>
        <w:t>) і капітальні інвестиції в індустрію туризму (</w:t>
      </w:r>
      <w:proofErr w:type="spellStart"/>
      <w:r w:rsidRPr="00237A71">
        <w:rPr>
          <w:rFonts w:ascii="Times New Roman" w:hAnsi="Times New Roman" w:cs="Times New Roman"/>
          <w:sz w:val="18"/>
          <w:szCs w:val="18"/>
        </w:rPr>
        <w:t>Capital</w:t>
      </w:r>
      <w:proofErr w:type="spellEnd"/>
      <w:r w:rsidRPr="00237A7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37A71">
        <w:rPr>
          <w:rFonts w:ascii="Times New Roman" w:hAnsi="Times New Roman" w:cs="Times New Roman"/>
          <w:sz w:val="18"/>
          <w:szCs w:val="18"/>
        </w:rPr>
        <w:t>Investment</w:t>
      </w:r>
      <w:proofErr w:type="spellEnd"/>
      <w:r w:rsidRPr="00237A71">
        <w:rPr>
          <w:rFonts w:ascii="Times New Roman" w:eastAsia="Times New Roman" w:hAnsi="Times New Roman" w:cs="Times New Roman"/>
          <w:sz w:val="18"/>
          <w:szCs w:val="18"/>
          <w:lang w:eastAsia="uk-UA"/>
        </w:rPr>
        <w:t>)</w:t>
      </w:r>
      <w:r w:rsidR="003A4919" w:rsidRPr="00237A7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[4]</w:t>
      </w:r>
      <w:r w:rsidRPr="00237A71">
        <w:rPr>
          <w:rFonts w:ascii="Times New Roman" w:eastAsia="Times New Roman" w:hAnsi="Times New Roman" w:cs="Times New Roman"/>
          <w:sz w:val="18"/>
          <w:szCs w:val="18"/>
          <w:lang w:eastAsia="uk-UA"/>
        </w:rPr>
        <w:t>. Роль цих складових ВТП ілюструє гістограма (рис.2.).</w:t>
      </w:r>
      <w:r w:rsidR="00431DA5" w:rsidRPr="00237A7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Помітно, що основну роль у формуванні ВТП України відіграють доходи від іноземного та внутрішнього туризму. При цьому якщо у минулому і на початку поточного століття найбільший внесок у ВТП забезпечував внутрішній туризм, то </w:t>
      </w:r>
      <w:r w:rsidR="000E67C9" w:rsidRPr="00237A7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упродовж </w:t>
      </w:r>
      <w:r w:rsidR="00431DA5" w:rsidRPr="00237A71">
        <w:rPr>
          <w:rFonts w:ascii="Times New Roman" w:eastAsia="Times New Roman" w:hAnsi="Times New Roman" w:cs="Times New Roman"/>
          <w:sz w:val="18"/>
          <w:szCs w:val="18"/>
          <w:lang w:eastAsia="uk-UA"/>
        </w:rPr>
        <w:t>2004</w:t>
      </w:r>
      <w:r w:rsidR="000E67C9" w:rsidRPr="00237A71">
        <w:rPr>
          <w:rFonts w:ascii="Times New Roman" w:eastAsia="Times New Roman" w:hAnsi="Times New Roman" w:cs="Times New Roman"/>
          <w:sz w:val="18"/>
          <w:szCs w:val="18"/>
          <w:lang w:eastAsia="uk-UA"/>
        </w:rPr>
        <w:t>-2010 р</w:t>
      </w:r>
      <w:r w:rsidR="00431DA5" w:rsidRPr="00237A7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р. </w:t>
      </w:r>
      <w:r w:rsidR="000E67C9" w:rsidRPr="00237A7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домінантою стає іноземний туризм. Останніми роками лідерство щодо внеску у ВТП країни </w:t>
      </w:r>
      <w:r w:rsidR="00FA5C4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знову </w:t>
      </w:r>
      <w:r w:rsidR="000E67C9" w:rsidRPr="00237A7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повернув собі </w:t>
      </w:r>
      <w:r w:rsidR="00594FF4" w:rsidRPr="00237A71">
        <w:rPr>
          <w:rFonts w:ascii="Times New Roman" w:eastAsia="Times New Roman" w:hAnsi="Times New Roman" w:cs="Times New Roman"/>
          <w:sz w:val="18"/>
          <w:szCs w:val="18"/>
          <w:lang w:eastAsia="uk-UA"/>
        </w:rPr>
        <w:t>внутрішній туризм.</w:t>
      </w:r>
    </w:p>
    <w:p w:rsidR="00256C91" w:rsidRPr="00237A71" w:rsidRDefault="00256C91" w:rsidP="00BB3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p w:rsidR="00BB37C6" w:rsidRPr="00237A71" w:rsidRDefault="00BB37C6" w:rsidP="00CF267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37A71">
        <w:rPr>
          <w:noProof/>
          <w:lang w:eastAsia="uk-UA"/>
        </w:rPr>
        <w:drawing>
          <wp:inline distT="0" distB="0" distL="0" distR="0" wp14:anchorId="57E7DFF6" wp14:editId="7587C272">
            <wp:extent cx="8972550" cy="27051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771EF" w:rsidRPr="00237A71" w:rsidRDefault="00594FF4" w:rsidP="00594F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237A71">
        <w:rPr>
          <w:rFonts w:ascii="Times New Roman" w:eastAsia="Times New Roman" w:hAnsi="Times New Roman" w:cs="Times New Roman"/>
          <w:sz w:val="16"/>
          <w:szCs w:val="16"/>
          <w:lang w:eastAsia="uk-UA"/>
        </w:rPr>
        <w:t>Рис.2. Структура валовог</w:t>
      </w:r>
      <w:r w:rsidR="006A0C52" w:rsidRPr="00237A71">
        <w:rPr>
          <w:rFonts w:ascii="Times New Roman" w:eastAsia="Times New Roman" w:hAnsi="Times New Roman" w:cs="Times New Roman"/>
          <w:sz w:val="16"/>
          <w:szCs w:val="16"/>
          <w:lang w:eastAsia="uk-UA"/>
        </w:rPr>
        <w:t>о туристичного продукту України</w:t>
      </w:r>
    </w:p>
    <w:p w:rsidR="002002EE" w:rsidRPr="00237A71" w:rsidRDefault="002002EE" w:rsidP="00594F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972CB8" w:rsidRPr="00237A71" w:rsidRDefault="00CB4AE5" w:rsidP="00972CB8">
      <w:pPr>
        <w:pStyle w:val="a7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237A71">
        <w:rPr>
          <w:sz w:val="18"/>
          <w:szCs w:val="18"/>
        </w:rPr>
        <w:t>Зміни в структурі ВТП України криються у суспільних процесах, що мали місце за визначений період</w:t>
      </w:r>
      <w:r w:rsidR="00477CD4" w:rsidRPr="00237A71">
        <w:rPr>
          <w:sz w:val="18"/>
          <w:szCs w:val="18"/>
        </w:rPr>
        <w:t xml:space="preserve"> на теренах нашої держави</w:t>
      </w:r>
      <w:r w:rsidRPr="00237A71">
        <w:rPr>
          <w:sz w:val="18"/>
          <w:szCs w:val="18"/>
        </w:rPr>
        <w:t xml:space="preserve">. </w:t>
      </w:r>
      <w:r w:rsidR="0019564C" w:rsidRPr="00237A71">
        <w:rPr>
          <w:sz w:val="18"/>
          <w:szCs w:val="18"/>
        </w:rPr>
        <w:t xml:space="preserve">Так, звертає на себе увагу те, що у роки політичної нестабільності та кризових явищ в економіці ВТП країни формувався здебільшого за рахунок доходів від внутрішнього туризму. Адже ні рівень </w:t>
      </w:r>
      <w:r w:rsidR="00D82239" w:rsidRPr="00237A71">
        <w:rPr>
          <w:sz w:val="18"/>
          <w:szCs w:val="18"/>
        </w:rPr>
        <w:t>життя</w:t>
      </w:r>
      <w:r w:rsidR="0019564C" w:rsidRPr="00237A71">
        <w:rPr>
          <w:sz w:val="18"/>
          <w:szCs w:val="18"/>
        </w:rPr>
        <w:t xml:space="preserve"> більшості резидентів України, ні курс національної валюти аж ніяк не сприяли подорожам</w:t>
      </w:r>
      <w:r w:rsidR="00D82239" w:rsidRPr="00237A71">
        <w:rPr>
          <w:sz w:val="18"/>
          <w:szCs w:val="18"/>
        </w:rPr>
        <w:t xml:space="preserve"> за кордон</w:t>
      </w:r>
      <w:r w:rsidR="001858B3" w:rsidRPr="00237A71">
        <w:rPr>
          <w:sz w:val="18"/>
          <w:szCs w:val="18"/>
        </w:rPr>
        <w:t xml:space="preserve">. Як наслідок, переважна більшість потенційних вітчизняних туристів обмежувалися </w:t>
      </w:r>
      <w:r w:rsidR="00595989" w:rsidRPr="00237A71">
        <w:rPr>
          <w:sz w:val="18"/>
          <w:szCs w:val="18"/>
        </w:rPr>
        <w:t>мандрівками</w:t>
      </w:r>
      <w:r w:rsidR="001858B3" w:rsidRPr="00237A71">
        <w:rPr>
          <w:sz w:val="18"/>
          <w:szCs w:val="18"/>
        </w:rPr>
        <w:t xml:space="preserve"> власною країною. </w:t>
      </w:r>
      <w:r w:rsidR="00981CC7" w:rsidRPr="00237A71">
        <w:rPr>
          <w:sz w:val="18"/>
          <w:szCs w:val="18"/>
        </w:rPr>
        <w:t xml:space="preserve">Водночас політичний неспокій, відсутність гарантії безпеки, а також не належний рівень послуг відлякували іноземних туристів. </w:t>
      </w:r>
      <w:r w:rsidR="001858B3" w:rsidRPr="00237A71">
        <w:rPr>
          <w:sz w:val="18"/>
          <w:szCs w:val="18"/>
        </w:rPr>
        <w:t>Це особливо помітно у 1990-ті та у перші роки нов</w:t>
      </w:r>
      <w:r w:rsidR="00981CC7" w:rsidRPr="00237A71">
        <w:rPr>
          <w:sz w:val="18"/>
          <w:szCs w:val="18"/>
        </w:rPr>
        <w:t>о</w:t>
      </w:r>
      <w:r w:rsidR="001858B3" w:rsidRPr="00237A71">
        <w:rPr>
          <w:sz w:val="18"/>
          <w:szCs w:val="18"/>
        </w:rPr>
        <w:t>го ст</w:t>
      </w:r>
      <w:r w:rsidR="001858B3" w:rsidRPr="00237A71">
        <w:rPr>
          <w:sz w:val="18"/>
          <w:szCs w:val="18"/>
        </w:rPr>
        <w:t>о</w:t>
      </w:r>
      <w:r w:rsidR="001858B3" w:rsidRPr="00237A71">
        <w:rPr>
          <w:sz w:val="18"/>
          <w:szCs w:val="18"/>
        </w:rPr>
        <w:t>ліття</w:t>
      </w:r>
      <w:r w:rsidR="00981CC7" w:rsidRPr="00237A71">
        <w:rPr>
          <w:sz w:val="18"/>
          <w:szCs w:val="18"/>
        </w:rPr>
        <w:t xml:space="preserve">, коли Україна для переважної більшості іноземців </w:t>
      </w:r>
      <w:r w:rsidR="00CB281F" w:rsidRPr="00237A71">
        <w:rPr>
          <w:sz w:val="18"/>
          <w:szCs w:val="18"/>
        </w:rPr>
        <w:t xml:space="preserve">була майже «білою плямою» або ж </w:t>
      </w:r>
      <w:r w:rsidR="00981CC7" w:rsidRPr="00237A71">
        <w:rPr>
          <w:sz w:val="18"/>
          <w:szCs w:val="18"/>
        </w:rPr>
        <w:t xml:space="preserve">асоціювалася з </w:t>
      </w:r>
      <w:r w:rsidR="001B7E2D" w:rsidRPr="00237A71">
        <w:rPr>
          <w:sz w:val="18"/>
          <w:szCs w:val="18"/>
        </w:rPr>
        <w:t xml:space="preserve">так само ненадійною </w:t>
      </w:r>
      <w:r w:rsidR="00981CC7" w:rsidRPr="00237A71">
        <w:rPr>
          <w:sz w:val="18"/>
          <w:szCs w:val="18"/>
        </w:rPr>
        <w:t>Росі</w:t>
      </w:r>
      <w:r w:rsidR="00C2687D" w:rsidRPr="00237A71">
        <w:rPr>
          <w:sz w:val="18"/>
          <w:szCs w:val="18"/>
        </w:rPr>
        <w:t xml:space="preserve">єю. </w:t>
      </w:r>
      <w:r w:rsidR="00DF1C8A" w:rsidRPr="00237A71">
        <w:rPr>
          <w:sz w:val="18"/>
          <w:szCs w:val="18"/>
        </w:rPr>
        <w:t>Короткий період відносного поліпшення</w:t>
      </w:r>
      <w:r w:rsidR="00B17C76" w:rsidRPr="00237A71">
        <w:rPr>
          <w:sz w:val="18"/>
          <w:szCs w:val="18"/>
        </w:rPr>
        <w:t xml:space="preserve"> зокрема </w:t>
      </w:r>
      <w:r w:rsidR="00DF1C8A" w:rsidRPr="00237A71">
        <w:rPr>
          <w:sz w:val="18"/>
          <w:szCs w:val="18"/>
        </w:rPr>
        <w:t xml:space="preserve">політичної ситуації </w:t>
      </w:r>
      <w:r w:rsidR="00B17C76" w:rsidRPr="00237A71">
        <w:rPr>
          <w:sz w:val="18"/>
          <w:szCs w:val="18"/>
        </w:rPr>
        <w:t xml:space="preserve">у 2004 р. стимулював </w:t>
      </w:r>
      <w:proofErr w:type="spellStart"/>
      <w:r w:rsidR="00B17C76" w:rsidRPr="00237A71">
        <w:rPr>
          <w:sz w:val="18"/>
          <w:szCs w:val="18"/>
        </w:rPr>
        <w:t>вʼїзний</w:t>
      </w:r>
      <w:proofErr w:type="spellEnd"/>
      <w:r w:rsidR="00B17C76" w:rsidRPr="00237A71">
        <w:rPr>
          <w:sz w:val="18"/>
          <w:szCs w:val="18"/>
        </w:rPr>
        <w:t xml:space="preserve"> туризм і, як наслідок, зростання внеску іноземного туризму у ВТП України</w:t>
      </w:r>
      <w:r w:rsidR="000D2838" w:rsidRPr="00237A71">
        <w:rPr>
          <w:sz w:val="18"/>
          <w:szCs w:val="18"/>
        </w:rPr>
        <w:t>, що й демонструє гістограма. Упродовж останніх років загос</w:t>
      </w:r>
      <w:r w:rsidR="000D2838" w:rsidRPr="00237A71">
        <w:rPr>
          <w:sz w:val="18"/>
          <w:szCs w:val="18"/>
        </w:rPr>
        <w:t>т</w:t>
      </w:r>
      <w:r w:rsidR="000D2838" w:rsidRPr="00237A71">
        <w:rPr>
          <w:sz w:val="18"/>
          <w:szCs w:val="18"/>
        </w:rPr>
        <w:t>рення політичної боротьби в країні з подальшою політичною кризою та війною на сході України на тлі надзвичайно складної економічної ситуації та низки негативних соціальних явищ (безробіття, масова втрата житла, вимушена міграція</w:t>
      </w:r>
      <w:r w:rsidR="00FB3E66" w:rsidRPr="00237A71">
        <w:rPr>
          <w:sz w:val="18"/>
          <w:szCs w:val="18"/>
        </w:rPr>
        <w:t>, зубожіння</w:t>
      </w:r>
      <w:r w:rsidR="000D2838" w:rsidRPr="00237A71">
        <w:rPr>
          <w:sz w:val="18"/>
          <w:szCs w:val="18"/>
        </w:rPr>
        <w:t xml:space="preserve">) безумовно </w:t>
      </w:r>
      <w:r w:rsidR="002C3A38">
        <w:rPr>
          <w:sz w:val="18"/>
          <w:szCs w:val="18"/>
        </w:rPr>
        <w:t>вплинули й на туристичний ринок – простежується</w:t>
      </w:r>
      <w:r w:rsidR="00FF35E5">
        <w:rPr>
          <w:sz w:val="18"/>
          <w:szCs w:val="18"/>
        </w:rPr>
        <w:t>, як уже зазначалося,</w:t>
      </w:r>
      <w:r w:rsidR="002C3A38">
        <w:rPr>
          <w:sz w:val="18"/>
          <w:szCs w:val="18"/>
        </w:rPr>
        <w:t xml:space="preserve"> </w:t>
      </w:r>
      <w:r w:rsidR="00972CB8" w:rsidRPr="00237A71">
        <w:rPr>
          <w:sz w:val="18"/>
          <w:szCs w:val="18"/>
        </w:rPr>
        <w:t xml:space="preserve">тенденція зменшення в структурі ВТП країни частки іноземного туризму. </w:t>
      </w:r>
    </w:p>
    <w:p w:rsidR="00D3517D" w:rsidRPr="00237A71" w:rsidRDefault="00DF1C8A" w:rsidP="008C23E9">
      <w:pPr>
        <w:pStyle w:val="a7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237A71">
        <w:rPr>
          <w:sz w:val="18"/>
          <w:szCs w:val="18"/>
        </w:rPr>
        <w:t>Абсолютні значення валового туристичного продукту України (навіть з урахуванням його структури) хоча і є показовими, але не відображають процесу розвитку туристичного р</w:t>
      </w:r>
      <w:r w:rsidRPr="00237A71">
        <w:rPr>
          <w:sz w:val="18"/>
          <w:szCs w:val="18"/>
        </w:rPr>
        <w:t>и</w:t>
      </w:r>
      <w:r w:rsidRPr="00237A71">
        <w:rPr>
          <w:sz w:val="18"/>
          <w:szCs w:val="18"/>
        </w:rPr>
        <w:t xml:space="preserve">нку. </w:t>
      </w:r>
      <w:r w:rsidR="00A1430C" w:rsidRPr="00237A71">
        <w:rPr>
          <w:sz w:val="18"/>
          <w:szCs w:val="18"/>
        </w:rPr>
        <w:t xml:space="preserve">Для виявлення особливостей цього процесу, його закономірностей та прогнозування </w:t>
      </w:r>
      <w:r w:rsidR="008F3A07" w:rsidRPr="00237A71">
        <w:rPr>
          <w:sz w:val="18"/>
          <w:szCs w:val="18"/>
        </w:rPr>
        <w:t xml:space="preserve">подальших можливих змін </w:t>
      </w:r>
      <w:r w:rsidR="006A5ABD" w:rsidRPr="00237A71">
        <w:rPr>
          <w:sz w:val="18"/>
          <w:szCs w:val="18"/>
        </w:rPr>
        <w:t xml:space="preserve">нами було побудовано графік </w:t>
      </w:r>
      <w:r w:rsidR="00A1430C" w:rsidRPr="00237A71">
        <w:rPr>
          <w:sz w:val="18"/>
          <w:szCs w:val="18"/>
        </w:rPr>
        <w:t>темп</w:t>
      </w:r>
      <w:r w:rsidR="006A5ABD" w:rsidRPr="00237A71">
        <w:rPr>
          <w:sz w:val="18"/>
          <w:szCs w:val="18"/>
        </w:rPr>
        <w:t>ів</w:t>
      </w:r>
      <w:r w:rsidR="00A1430C" w:rsidRPr="00237A71">
        <w:rPr>
          <w:sz w:val="18"/>
          <w:szCs w:val="18"/>
        </w:rPr>
        <w:t xml:space="preserve"> приросту </w:t>
      </w:r>
      <w:r w:rsidR="006A5ABD" w:rsidRPr="00237A71">
        <w:rPr>
          <w:sz w:val="18"/>
          <w:szCs w:val="18"/>
        </w:rPr>
        <w:t xml:space="preserve">ВТП </w:t>
      </w:r>
      <w:r w:rsidR="00A1430C" w:rsidRPr="00237A71">
        <w:rPr>
          <w:sz w:val="18"/>
          <w:szCs w:val="18"/>
        </w:rPr>
        <w:t>України (рис. 3.).</w:t>
      </w:r>
      <w:r w:rsidR="006A5ABD" w:rsidRPr="00237A71">
        <w:rPr>
          <w:sz w:val="18"/>
          <w:szCs w:val="18"/>
        </w:rPr>
        <w:t xml:space="preserve"> Аналіз цього показника передусім дозволяє стверджувати про циклічний характер розвитку туризму в Україні. За визначений період можна виділити щонайменше чотири економічні ци</w:t>
      </w:r>
      <w:r w:rsidR="006A5ABD" w:rsidRPr="00237A71">
        <w:rPr>
          <w:sz w:val="18"/>
          <w:szCs w:val="18"/>
        </w:rPr>
        <w:t>к</w:t>
      </w:r>
      <w:r w:rsidR="006A5ABD" w:rsidRPr="00237A71">
        <w:rPr>
          <w:sz w:val="18"/>
          <w:szCs w:val="18"/>
        </w:rPr>
        <w:t xml:space="preserve">ли розвитку туристичного ринку України: 1996-2002 рр., </w:t>
      </w:r>
      <w:r w:rsidR="00471FFC" w:rsidRPr="00237A71">
        <w:rPr>
          <w:sz w:val="18"/>
          <w:szCs w:val="18"/>
        </w:rPr>
        <w:t xml:space="preserve">2003-2005 рр., 2006-2009 рр. і 2010-2014 рр. Більшість з них належить до так званих коротких циклів – тривалістю до 5 років включно. Зміна вказаних циклів, що супроводжується </w:t>
      </w:r>
      <w:r w:rsidR="00CA28D4" w:rsidRPr="00237A71">
        <w:rPr>
          <w:sz w:val="18"/>
          <w:szCs w:val="18"/>
        </w:rPr>
        <w:t xml:space="preserve">багаторазовим </w:t>
      </w:r>
      <w:r w:rsidR="00471FFC" w:rsidRPr="00237A71">
        <w:rPr>
          <w:sz w:val="18"/>
          <w:szCs w:val="18"/>
        </w:rPr>
        <w:t xml:space="preserve">чергуванням низької, зростаючої, високої та спадаючої </w:t>
      </w:r>
      <w:proofErr w:type="spellStart"/>
      <w:r w:rsidR="00471FFC" w:rsidRPr="00237A71">
        <w:rPr>
          <w:sz w:val="18"/>
          <w:szCs w:val="18"/>
        </w:rPr>
        <w:t>ко</w:t>
      </w:r>
      <w:r w:rsidR="00DF145F" w:rsidRPr="00237A71">
        <w:rPr>
          <w:sz w:val="18"/>
          <w:szCs w:val="18"/>
        </w:rPr>
        <w:t>н</w:t>
      </w:r>
      <w:r w:rsidR="00471FFC" w:rsidRPr="00237A71">
        <w:rPr>
          <w:sz w:val="18"/>
          <w:szCs w:val="18"/>
        </w:rPr>
        <w:t>ʼюнктури</w:t>
      </w:r>
      <w:proofErr w:type="spellEnd"/>
      <w:r w:rsidR="00471FFC" w:rsidRPr="00237A71">
        <w:rPr>
          <w:sz w:val="18"/>
          <w:szCs w:val="18"/>
        </w:rPr>
        <w:t>,</w:t>
      </w:r>
      <w:r w:rsidR="007106AA" w:rsidRPr="00237A71">
        <w:rPr>
          <w:sz w:val="18"/>
          <w:szCs w:val="18"/>
        </w:rPr>
        <w:t xml:space="preserve"> безпосередньо </w:t>
      </w:r>
      <w:proofErr w:type="spellStart"/>
      <w:r w:rsidR="007106AA" w:rsidRPr="00237A71">
        <w:rPr>
          <w:sz w:val="18"/>
          <w:szCs w:val="18"/>
        </w:rPr>
        <w:t>повʼязан</w:t>
      </w:r>
      <w:r w:rsidR="00662196" w:rsidRPr="00237A71">
        <w:rPr>
          <w:sz w:val="18"/>
          <w:szCs w:val="18"/>
        </w:rPr>
        <w:t>а</w:t>
      </w:r>
      <w:proofErr w:type="spellEnd"/>
      <w:r w:rsidR="007106AA" w:rsidRPr="00237A71">
        <w:rPr>
          <w:sz w:val="18"/>
          <w:szCs w:val="18"/>
        </w:rPr>
        <w:t xml:space="preserve"> із суспільними проц</w:t>
      </w:r>
      <w:r w:rsidR="007106AA" w:rsidRPr="00237A71">
        <w:rPr>
          <w:sz w:val="18"/>
          <w:szCs w:val="18"/>
        </w:rPr>
        <w:t>е</w:t>
      </w:r>
      <w:r w:rsidR="007106AA" w:rsidRPr="00237A71">
        <w:rPr>
          <w:sz w:val="18"/>
          <w:szCs w:val="18"/>
        </w:rPr>
        <w:t>сами. Так, максимальне падінн</w:t>
      </w:r>
      <w:r w:rsidR="00662196" w:rsidRPr="00237A71">
        <w:rPr>
          <w:sz w:val="18"/>
          <w:szCs w:val="18"/>
        </w:rPr>
        <w:t>я</w:t>
      </w:r>
      <w:r w:rsidR="007106AA" w:rsidRPr="00237A71">
        <w:rPr>
          <w:sz w:val="18"/>
          <w:szCs w:val="18"/>
        </w:rPr>
        <w:t xml:space="preserve"> </w:t>
      </w:r>
      <w:r w:rsidR="00662196" w:rsidRPr="00237A71">
        <w:rPr>
          <w:sz w:val="18"/>
          <w:szCs w:val="18"/>
        </w:rPr>
        <w:t xml:space="preserve">темпів приросту </w:t>
      </w:r>
      <w:r w:rsidR="007106AA" w:rsidRPr="00237A71">
        <w:rPr>
          <w:sz w:val="18"/>
          <w:szCs w:val="18"/>
        </w:rPr>
        <w:t>ВТП у 1996 р.</w:t>
      </w:r>
      <w:r w:rsidR="00662196" w:rsidRPr="00237A71">
        <w:rPr>
          <w:sz w:val="18"/>
          <w:szCs w:val="18"/>
        </w:rPr>
        <w:t xml:space="preserve"> (-50,3%) було</w:t>
      </w:r>
      <w:r w:rsidR="007106AA" w:rsidRPr="00237A71">
        <w:rPr>
          <w:sz w:val="18"/>
          <w:szCs w:val="18"/>
        </w:rPr>
        <w:t xml:space="preserve"> зумовлено вкрай важкою економічною ситуацією</w:t>
      </w:r>
      <w:r w:rsidR="00662196" w:rsidRPr="00237A71">
        <w:rPr>
          <w:sz w:val="18"/>
          <w:szCs w:val="18"/>
        </w:rPr>
        <w:t xml:space="preserve"> в країні, за умов </w:t>
      </w:r>
      <w:r w:rsidR="00A37587" w:rsidRPr="00237A71">
        <w:rPr>
          <w:sz w:val="18"/>
          <w:szCs w:val="18"/>
        </w:rPr>
        <w:t>скорочення валового внутрішнього прод</w:t>
      </w:r>
      <w:r w:rsidR="00A37587" w:rsidRPr="00237A71">
        <w:rPr>
          <w:sz w:val="18"/>
          <w:szCs w:val="18"/>
        </w:rPr>
        <w:t>у</w:t>
      </w:r>
      <w:r w:rsidR="00A37587" w:rsidRPr="00237A71">
        <w:rPr>
          <w:sz w:val="18"/>
          <w:szCs w:val="18"/>
        </w:rPr>
        <w:t xml:space="preserve">кту України, </w:t>
      </w:r>
      <w:r w:rsidR="00662196" w:rsidRPr="00237A71">
        <w:rPr>
          <w:sz w:val="18"/>
          <w:szCs w:val="18"/>
        </w:rPr>
        <w:t xml:space="preserve">сталого зниження </w:t>
      </w:r>
      <w:r w:rsidR="00D3517D" w:rsidRPr="00237A71">
        <w:rPr>
          <w:sz w:val="18"/>
          <w:szCs w:val="18"/>
        </w:rPr>
        <w:t xml:space="preserve">внутрішнього </w:t>
      </w:r>
      <w:r w:rsidR="00662196" w:rsidRPr="00237A71">
        <w:rPr>
          <w:sz w:val="18"/>
          <w:szCs w:val="18"/>
        </w:rPr>
        <w:t>попиту і пропозиції</w:t>
      </w:r>
      <w:r w:rsidR="00B0490F" w:rsidRPr="00237A71">
        <w:rPr>
          <w:sz w:val="18"/>
          <w:szCs w:val="18"/>
        </w:rPr>
        <w:t>, у т.ч. й на туристичні послуги</w:t>
      </w:r>
      <w:r w:rsidR="00662196" w:rsidRPr="00237A71">
        <w:rPr>
          <w:sz w:val="18"/>
          <w:szCs w:val="18"/>
        </w:rPr>
        <w:t xml:space="preserve"> (</w:t>
      </w:r>
      <w:r w:rsidR="000547FC" w:rsidRPr="00237A71">
        <w:rPr>
          <w:sz w:val="18"/>
          <w:szCs w:val="18"/>
        </w:rPr>
        <w:t>при цьому попит знижувався швидше за пропозицію</w:t>
      </w:r>
      <w:r w:rsidR="00662196" w:rsidRPr="00237A71">
        <w:rPr>
          <w:sz w:val="18"/>
          <w:szCs w:val="18"/>
        </w:rPr>
        <w:t>), величезної заборгованості із за</w:t>
      </w:r>
      <w:r w:rsidR="00662196" w:rsidRPr="00237A71">
        <w:rPr>
          <w:sz w:val="18"/>
          <w:szCs w:val="18"/>
        </w:rPr>
        <w:t>р</w:t>
      </w:r>
      <w:r w:rsidR="00662196" w:rsidRPr="00237A71">
        <w:rPr>
          <w:sz w:val="18"/>
          <w:szCs w:val="18"/>
        </w:rPr>
        <w:lastRenderedPageBreak/>
        <w:t>плати, пенсій, стипендій, що розтяглася на багато місяців.</w:t>
      </w:r>
      <w:r w:rsidR="00A37587" w:rsidRPr="00237A71">
        <w:rPr>
          <w:sz w:val="18"/>
          <w:szCs w:val="18"/>
        </w:rPr>
        <w:t xml:space="preserve"> </w:t>
      </w:r>
      <w:r w:rsidR="008C23E9" w:rsidRPr="00237A71">
        <w:rPr>
          <w:sz w:val="18"/>
          <w:szCs w:val="18"/>
        </w:rPr>
        <w:t xml:space="preserve"> У 1996 р. було введено в обіг національну валюту України – гривню. Але її поява супроводжувалась шаленими стрибками цін, небаченою інфляцією. Усе це безперечно </w:t>
      </w:r>
      <w:r w:rsidR="00D3517D" w:rsidRPr="00237A71">
        <w:rPr>
          <w:sz w:val="18"/>
          <w:szCs w:val="18"/>
        </w:rPr>
        <w:t xml:space="preserve">ускладнювало </w:t>
      </w:r>
      <w:r w:rsidR="00425508" w:rsidRPr="00237A71">
        <w:rPr>
          <w:sz w:val="18"/>
          <w:szCs w:val="18"/>
        </w:rPr>
        <w:t xml:space="preserve">туристичний бізнес і мінімізувало його внесок у ВВП країни. </w:t>
      </w:r>
      <w:r w:rsidR="008B6DA5" w:rsidRPr="00237A71">
        <w:rPr>
          <w:sz w:val="18"/>
          <w:szCs w:val="18"/>
        </w:rPr>
        <w:t>За</w:t>
      </w:r>
      <w:r w:rsidR="00A93F2B" w:rsidRPr="00237A71">
        <w:rPr>
          <w:sz w:val="18"/>
          <w:szCs w:val="18"/>
        </w:rPr>
        <w:t xml:space="preserve"> таких умовах</w:t>
      </w:r>
      <w:r w:rsidR="008B6DA5" w:rsidRPr="00237A71">
        <w:rPr>
          <w:sz w:val="18"/>
          <w:szCs w:val="18"/>
        </w:rPr>
        <w:t xml:space="preserve"> падіння темпів приросту ВТП країни було б ще б</w:t>
      </w:r>
      <w:r w:rsidR="008B6DA5" w:rsidRPr="00237A71">
        <w:rPr>
          <w:sz w:val="18"/>
          <w:szCs w:val="18"/>
        </w:rPr>
        <w:t>і</w:t>
      </w:r>
      <w:r w:rsidR="008B6DA5" w:rsidRPr="00237A71">
        <w:rPr>
          <w:sz w:val="18"/>
          <w:szCs w:val="18"/>
        </w:rPr>
        <w:t>льшим, якби не доходи від іноземного туризму, які значно зросли проти попереднього року</w:t>
      </w:r>
      <w:r w:rsidR="00EE30EF" w:rsidRPr="00237A71">
        <w:rPr>
          <w:sz w:val="18"/>
          <w:szCs w:val="18"/>
        </w:rPr>
        <w:t xml:space="preserve"> (рис.4)</w:t>
      </w:r>
      <w:r w:rsidR="008B6DA5" w:rsidRPr="00237A71">
        <w:rPr>
          <w:sz w:val="18"/>
          <w:szCs w:val="18"/>
        </w:rPr>
        <w:t xml:space="preserve">. </w:t>
      </w:r>
    </w:p>
    <w:p w:rsidR="008B6DA5" w:rsidRPr="00237A71" w:rsidRDefault="008B6DA5" w:rsidP="008C23E9">
      <w:pPr>
        <w:pStyle w:val="a7"/>
        <w:spacing w:before="0" w:beforeAutospacing="0" w:after="0" w:afterAutospacing="0"/>
        <w:ind w:firstLine="567"/>
        <w:jc w:val="both"/>
        <w:rPr>
          <w:sz w:val="18"/>
          <w:szCs w:val="18"/>
        </w:rPr>
      </w:pPr>
    </w:p>
    <w:p w:rsidR="00494717" w:rsidRPr="00237A71" w:rsidRDefault="00494717" w:rsidP="007B31BE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uk-UA"/>
        </w:rPr>
      </w:pPr>
      <w:r w:rsidRPr="00237A71">
        <w:rPr>
          <w:noProof/>
          <w:lang w:eastAsia="uk-UA"/>
        </w:rPr>
        <w:drawing>
          <wp:inline distT="0" distB="0" distL="0" distR="0" wp14:anchorId="1002B04D" wp14:editId="52323610">
            <wp:extent cx="9037122" cy="2624447"/>
            <wp:effectExtent l="0" t="0" r="12065" b="241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94717" w:rsidRPr="00237A71" w:rsidRDefault="00494717" w:rsidP="00494717">
      <w:pPr>
        <w:jc w:val="center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237A71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Рис. </w:t>
      </w:r>
      <w:r w:rsidR="00A1430C" w:rsidRPr="00237A71">
        <w:rPr>
          <w:rFonts w:ascii="Times New Roman" w:eastAsia="Times New Roman" w:hAnsi="Times New Roman" w:cs="Times New Roman"/>
          <w:sz w:val="16"/>
          <w:szCs w:val="16"/>
          <w:lang w:eastAsia="uk-UA"/>
        </w:rPr>
        <w:t>3</w:t>
      </w:r>
      <w:r w:rsidR="001771EF" w:rsidRPr="00237A71">
        <w:rPr>
          <w:rFonts w:ascii="Times New Roman" w:eastAsia="Times New Roman" w:hAnsi="Times New Roman" w:cs="Times New Roman"/>
          <w:sz w:val="16"/>
          <w:szCs w:val="16"/>
          <w:lang w:eastAsia="uk-UA"/>
        </w:rPr>
        <w:t>.</w:t>
      </w:r>
      <w:r w:rsidRPr="00237A71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Темпи приросту валового туристичного продукту України</w:t>
      </w:r>
    </w:p>
    <w:p w:rsidR="008B6DA5" w:rsidRPr="00237A71" w:rsidRDefault="008B6DA5" w:rsidP="008B6DA5">
      <w:pPr>
        <w:pStyle w:val="a7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237A71">
        <w:rPr>
          <w:sz w:val="18"/>
          <w:szCs w:val="18"/>
        </w:rPr>
        <w:t>Варто  додати, що кризовому 1996 р. передував період, який, за зауваженням деяких дослідників, не має історичних аналогів. З 1990 по 1994 р</w:t>
      </w:r>
      <w:r w:rsidR="006B3297" w:rsidRPr="00237A71">
        <w:rPr>
          <w:sz w:val="18"/>
          <w:szCs w:val="18"/>
        </w:rPr>
        <w:t>.</w:t>
      </w:r>
      <w:r w:rsidRPr="00237A71">
        <w:rPr>
          <w:sz w:val="18"/>
          <w:szCs w:val="18"/>
        </w:rPr>
        <w:t xml:space="preserve"> валовий національний продукт Укр</w:t>
      </w:r>
      <w:r w:rsidRPr="00237A71">
        <w:rPr>
          <w:sz w:val="18"/>
          <w:szCs w:val="18"/>
        </w:rPr>
        <w:t>а</w:t>
      </w:r>
      <w:r w:rsidRPr="00237A71">
        <w:rPr>
          <w:sz w:val="18"/>
          <w:szCs w:val="18"/>
        </w:rPr>
        <w:t xml:space="preserve">їни скоротився </w:t>
      </w:r>
      <w:r w:rsidR="00116483" w:rsidRPr="00237A71">
        <w:rPr>
          <w:sz w:val="18"/>
          <w:szCs w:val="18"/>
        </w:rPr>
        <w:t xml:space="preserve">більш як </w:t>
      </w:r>
      <w:r w:rsidRPr="00237A71">
        <w:rPr>
          <w:sz w:val="18"/>
          <w:szCs w:val="18"/>
        </w:rPr>
        <w:t>на 4</w:t>
      </w:r>
      <w:r w:rsidR="00116483" w:rsidRPr="00237A71">
        <w:rPr>
          <w:sz w:val="18"/>
          <w:szCs w:val="18"/>
        </w:rPr>
        <w:t>0</w:t>
      </w:r>
      <w:r w:rsidRPr="00237A71">
        <w:rPr>
          <w:sz w:val="18"/>
          <w:szCs w:val="18"/>
        </w:rPr>
        <w:t xml:space="preserve">%. Відображення цього </w:t>
      </w:r>
      <w:r w:rsidR="00F70E6D" w:rsidRPr="00237A71">
        <w:rPr>
          <w:sz w:val="18"/>
          <w:szCs w:val="18"/>
        </w:rPr>
        <w:t xml:space="preserve">у темпах приросту ВТП </w:t>
      </w:r>
      <w:r w:rsidRPr="00237A71">
        <w:rPr>
          <w:sz w:val="18"/>
          <w:szCs w:val="18"/>
        </w:rPr>
        <w:t>також простежується на рис.3.</w:t>
      </w:r>
    </w:p>
    <w:p w:rsidR="001771EF" w:rsidRPr="00237A71" w:rsidRDefault="00425508" w:rsidP="001771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37A71">
        <w:rPr>
          <w:rFonts w:ascii="Times New Roman" w:hAnsi="Times New Roman" w:cs="Times New Roman"/>
          <w:sz w:val="18"/>
          <w:szCs w:val="18"/>
        </w:rPr>
        <w:t xml:space="preserve">Попри деяку стабілізацію, що намітилась у 1997 р., економічну кризу подолати не вдалося. </w:t>
      </w:r>
      <w:r w:rsidR="00EB4D07" w:rsidRPr="00237A71">
        <w:rPr>
          <w:rFonts w:ascii="Times New Roman" w:hAnsi="Times New Roman" w:cs="Times New Roman"/>
          <w:sz w:val="18"/>
          <w:szCs w:val="18"/>
        </w:rPr>
        <w:t>Тому темпи приросту ВТП того року хоча й кращі за попередні роки, усе ж таки залиш</w:t>
      </w:r>
      <w:r w:rsidR="00EB4D07" w:rsidRPr="00237A71">
        <w:rPr>
          <w:rFonts w:ascii="Times New Roman" w:hAnsi="Times New Roman" w:cs="Times New Roman"/>
          <w:sz w:val="18"/>
          <w:szCs w:val="18"/>
        </w:rPr>
        <w:t>и</w:t>
      </w:r>
      <w:r w:rsidR="00EB4D07" w:rsidRPr="00237A71">
        <w:rPr>
          <w:rFonts w:ascii="Times New Roman" w:hAnsi="Times New Roman" w:cs="Times New Roman"/>
          <w:sz w:val="18"/>
          <w:szCs w:val="18"/>
        </w:rPr>
        <w:t xml:space="preserve">лася </w:t>
      </w:r>
      <w:proofErr w:type="spellStart"/>
      <w:r w:rsidR="00EB4D07" w:rsidRPr="00237A71">
        <w:rPr>
          <w:rFonts w:ascii="Times New Roman" w:hAnsi="Times New Roman" w:cs="Times New Roman"/>
          <w:sz w:val="18"/>
          <w:szCs w:val="18"/>
        </w:rPr>
        <w:t>відʼємними</w:t>
      </w:r>
      <w:proofErr w:type="spellEnd"/>
      <w:r w:rsidR="00EB4D07" w:rsidRPr="00237A71">
        <w:rPr>
          <w:rFonts w:ascii="Times New Roman" w:hAnsi="Times New Roman" w:cs="Times New Roman"/>
          <w:sz w:val="18"/>
          <w:szCs w:val="18"/>
        </w:rPr>
        <w:t xml:space="preserve"> (-2,5%). </w:t>
      </w:r>
      <w:r w:rsidR="00D34DD8" w:rsidRPr="00237A71">
        <w:rPr>
          <w:rFonts w:ascii="Times New Roman" w:hAnsi="Times New Roman" w:cs="Times New Roman"/>
          <w:sz w:val="18"/>
          <w:szCs w:val="18"/>
        </w:rPr>
        <w:t>Наступного 1998 р. мали знову місце кризові явища в економіці та фінансовій сфері. Дефолт, що був оголошений в Росії</w:t>
      </w:r>
      <w:r w:rsidR="00D1194D" w:rsidRPr="00237A71">
        <w:rPr>
          <w:rFonts w:ascii="Times New Roman" w:hAnsi="Times New Roman" w:cs="Times New Roman"/>
          <w:sz w:val="18"/>
          <w:szCs w:val="18"/>
        </w:rPr>
        <w:t>,</w:t>
      </w:r>
      <w:r w:rsidR="00D34DD8" w:rsidRPr="00237A71">
        <w:rPr>
          <w:rFonts w:ascii="Times New Roman" w:hAnsi="Times New Roman" w:cs="Times New Roman"/>
          <w:sz w:val="18"/>
          <w:szCs w:val="18"/>
        </w:rPr>
        <w:t xml:space="preserve"> </w:t>
      </w:r>
      <w:r w:rsidR="00DC4AC7" w:rsidRPr="00237A71">
        <w:rPr>
          <w:rFonts w:ascii="Times New Roman" w:hAnsi="Times New Roman" w:cs="Times New Roman"/>
          <w:sz w:val="18"/>
          <w:szCs w:val="18"/>
        </w:rPr>
        <w:t xml:space="preserve">мав відлуння й в Україні. </w:t>
      </w:r>
      <w:r w:rsidR="00D34DD8" w:rsidRPr="00237A71">
        <w:rPr>
          <w:rFonts w:ascii="Times New Roman" w:hAnsi="Times New Roman" w:cs="Times New Roman"/>
          <w:sz w:val="18"/>
          <w:szCs w:val="18"/>
        </w:rPr>
        <w:t>Тоді  курс гр</w:t>
      </w:r>
      <w:r w:rsidR="00D34DD8" w:rsidRPr="00237A71">
        <w:rPr>
          <w:rFonts w:ascii="Times New Roman" w:hAnsi="Times New Roman" w:cs="Times New Roman"/>
          <w:sz w:val="18"/>
          <w:szCs w:val="18"/>
        </w:rPr>
        <w:t>и</w:t>
      </w:r>
      <w:r w:rsidR="00D34DD8" w:rsidRPr="00237A71">
        <w:rPr>
          <w:rFonts w:ascii="Times New Roman" w:hAnsi="Times New Roman" w:cs="Times New Roman"/>
          <w:sz w:val="18"/>
          <w:szCs w:val="18"/>
        </w:rPr>
        <w:t>вні чи не за один день впав з 2 до 5,5 за долар.</w:t>
      </w:r>
      <w:r w:rsidR="00DC4AC7" w:rsidRPr="00237A71">
        <w:rPr>
          <w:rFonts w:ascii="Times New Roman" w:hAnsi="Times New Roman" w:cs="Times New Roman"/>
          <w:sz w:val="18"/>
          <w:szCs w:val="18"/>
        </w:rPr>
        <w:t xml:space="preserve"> При чому купити його було не можливо. Імпорт подорожчав майже у два рази, а заробітні плати залишилися на тому самому рівні. </w:t>
      </w:r>
      <w:r w:rsidR="00D34DD8" w:rsidRPr="00237A71">
        <w:rPr>
          <w:rFonts w:ascii="Times New Roman" w:hAnsi="Times New Roman" w:cs="Times New Roman"/>
          <w:sz w:val="18"/>
          <w:szCs w:val="18"/>
        </w:rPr>
        <w:t>Як насл</w:t>
      </w:r>
      <w:r w:rsidR="00D34DD8" w:rsidRPr="00237A71">
        <w:rPr>
          <w:rFonts w:ascii="Times New Roman" w:hAnsi="Times New Roman" w:cs="Times New Roman"/>
          <w:sz w:val="18"/>
          <w:szCs w:val="18"/>
        </w:rPr>
        <w:t>і</w:t>
      </w:r>
      <w:r w:rsidR="00D34DD8" w:rsidRPr="00237A71">
        <w:rPr>
          <w:rFonts w:ascii="Times New Roman" w:hAnsi="Times New Roman" w:cs="Times New Roman"/>
          <w:sz w:val="18"/>
          <w:szCs w:val="18"/>
        </w:rPr>
        <w:t>док,</w:t>
      </w:r>
      <w:r w:rsidR="00DC4AC7" w:rsidRPr="00237A71">
        <w:rPr>
          <w:rFonts w:ascii="Times New Roman" w:hAnsi="Times New Roman" w:cs="Times New Roman"/>
          <w:sz w:val="18"/>
          <w:szCs w:val="18"/>
        </w:rPr>
        <w:t xml:space="preserve"> –</w:t>
      </w:r>
      <w:r w:rsidR="00D34DD8" w:rsidRPr="00237A71">
        <w:rPr>
          <w:rFonts w:ascii="Times New Roman" w:hAnsi="Times New Roman" w:cs="Times New Roman"/>
          <w:sz w:val="18"/>
          <w:szCs w:val="18"/>
        </w:rPr>
        <w:t xml:space="preserve"> черго</w:t>
      </w:r>
      <w:r w:rsidR="00DC4AC7" w:rsidRPr="00237A71">
        <w:rPr>
          <w:rFonts w:ascii="Times New Roman" w:hAnsi="Times New Roman" w:cs="Times New Roman"/>
          <w:sz w:val="18"/>
          <w:szCs w:val="18"/>
        </w:rPr>
        <w:t>в</w:t>
      </w:r>
      <w:r w:rsidR="00D34DD8" w:rsidRPr="00237A71">
        <w:rPr>
          <w:rFonts w:ascii="Times New Roman" w:hAnsi="Times New Roman" w:cs="Times New Roman"/>
          <w:sz w:val="18"/>
          <w:szCs w:val="18"/>
        </w:rPr>
        <w:t>е зниження темпів приросту ВТП до показника -11,8%.</w:t>
      </w:r>
    </w:p>
    <w:p w:rsidR="00A01FC5" w:rsidRPr="00237A71" w:rsidRDefault="00D1194D" w:rsidP="00A01F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37A71">
        <w:rPr>
          <w:rFonts w:ascii="Times New Roman" w:hAnsi="Times New Roman" w:cs="Times New Roman"/>
          <w:sz w:val="18"/>
          <w:szCs w:val="18"/>
        </w:rPr>
        <w:t>Ф</w:t>
      </w:r>
      <w:r w:rsidR="00F2092B" w:rsidRPr="00237A71">
        <w:rPr>
          <w:rFonts w:ascii="Times New Roman" w:hAnsi="Times New Roman" w:cs="Times New Roman"/>
          <w:sz w:val="18"/>
          <w:szCs w:val="18"/>
        </w:rPr>
        <w:t xml:space="preserve">інансово-економічна стабільність країни </w:t>
      </w:r>
      <w:r w:rsidRPr="00237A71">
        <w:rPr>
          <w:rFonts w:ascii="Times New Roman" w:hAnsi="Times New Roman" w:cs="Times New Roman"/>
          <w:sz w:val="18"/>
          <w:szCs w:val="18"/>
        </w:rPr>
        <w:t xml:space="preserve">намітилась </w:t>
      </w:r>
      <w:r w:rsidR="00F2092B" w:rsidRPr="00237A71">
        <w:rPr>
          <w:rFonts w:ascii="Times New Roman" w:hAnsi="Times New Roman" w:cs="Times New Roman"/>
          <w:sz w:val="18"/>
          <w:szCs w:val="18"/>
        </w:rPr>
        <w:t>лише у 2000 р.</w:t>
      </w:r>
      <w:r w:rsidRPr="00237A71">
        <w:rPr>
          <w:rFonts w:ascii="Times New Roman" w:hAnsi="Times New Roman" w:cs="Times New Roman"/>
          <w:sz w:val="18"/>
          <w:szCs w:val="18"/>
        </w:rPr>
        <w:t xml:space="preserve">, на що одразу зреагував й туристичний ринок. </w:t>
      </w:r>
      <w:r w:rsidR="000353F0" w:rsidRPr="00237A71">
        <w:rPr>
          <w:rFonts w:ascii="Times New Roman" w:hAnsi="Times New Roman" w:cs="Times New Roman"/>
          <w:sz w:val="18"/>
          <w:szCs w:val="18"/>
        </w:rPr>
        <w:t xml:space="preserve">Зростання темпів приросту ВТП на 22,5% </w:t>
      </w:r>
      <w:r w:rsidR="00A957EF" w:rsidRPr="00237A71">
        <w:rPr>
          <w:rFonts w:ascii="Times New Roman" w:hAnsi="Times New Roman" w:cs="Times New Roman"/>
          <w:sz w:val="18"/>
          <w:szCs w:val="18"/>
        </w:rPr>
        <w:t>можна вважати ан</w:t>
      </w:r>
      <w:r w:rsidR="00A957EF" w:rsidRPr="00237A71">
        <w:rPr>
          <w:rFonts w:ascii="Times New Roman" w:hAnsi="Times New Roman" w:cs="Times New Roman"/>
          <w:sz w:val="18"/>
          <w:szCs w:val="18"/>
        </w:rPr>
        <w:t>о</w:t>
      </w:r>
      <w:r w:rsidR="00A957EF" w:rsidRPr="00237A71">
        <w:rPr>
          <w:rFonts w:ascii="Times New Roman" w:hAnsi="Times New Roman" w:cs="Times New Roman"/>
          <w:sz w:val="18"/>
          <w:szCs w:val="18"/>
        </w:rPr>
        <w:t xml:space="preserve">мально високим. </w:t>
      </w:r>
      <w:r w:rsidR="009D098C" w:rsidRPr="00237A71">
        <w:rPr>
          <w:rFonts w:ascii="Times New Roman" w:hAnsi="Times New Roman" w:cs="Times New Roman"/>
          <w:sz w:val="18"/>
          <w:szCs w:val="18"/>
        </w:rPr>
        <w:t xml:space="preserve">Показовим є те, що ВТП того року </w:t>
      </w:r>
      <w:r w:rsidR="00ED3E73" w:rsidRPr="00237A71">
        <w:rPr>
          <w:rFonts w:ascii="Times New Roman" w:hAnsi="Times New Roman" w:cs="Times New Roman"/>
          <w:sz w:val="18"/>
          <w:szCs w:val="18"/>
        </w:rPr>
        <w:t>формувався завдяки високим темпам приросту не лише іноземного, але й внутрішнього туризму, а також завдяки зростанню урядових витрат на туризм (рис.4.). Щ</w:t>
      </w:r>
      <w:r w:rsidR="00C66E83" w:rsidRPr="00237A71">
        <w:rPr>
          <w:rFonts w:ascii="Times New Roman" w:hAnsi="Times New Roman" w:cs="Times New Roman"/>
          <w:sz w:val="18"/>
          <w:szCs w:val="18"/>
        </w:rPr>
        <w:t xml:space="preserve">е більший </w:t>
      </w:r>
      <w:r w:rsidR="00A957EF" w:rsidRPr="00237A71">
        <w:rPr>
          <w:rFonts w:ascii="Times New Roman" w:hAnsi="Times New Roman" w:cs="Times New Roman"/>
          <w:sz w:val="18"/>
          <w:szCs w:val="18"/>
        </w:rPr>
        <w:t xml:space="preserve">«стрибок» темпів приросту ВТП мав місце в 2004 р. </w:t>
      </w:r>
      <w:r w:rsidR="00AB533A" w:rsidRPr="00237A71">
        <w:rPr>
          <w:rFonts w:ascii="Times New Roman" w:hAnsi="Times New Roman" w:cs="Times New Roman"/>
          <w:sz w:val="18"/>
          <w:szCs w:val="18"/>
        </w:rPr>
        <w:t xml:space="preserve">Після </w:t>
      </w:r>
      <w:r w:rsidR="00771CAD" w:rsidRPr="00237A71">
        <w:rPr>
          <w:rFonts w:ascii="Times New Roman" w:hAnsi="Times New Roman" w:cs="Times New Roman"/>
          <w:sz w:val="18"/>
          <w:szCs w:val="18"/>
        </w:rPr>
        <w:t xml:space="preserve">не дуже </w:t>
      </w:r>
      <w:r w:rsidR="00AB533A" w:rsidRPr="00237A71">
        <w:rPr>
          <w:rFonts w:ascii="Times New Roman" w:hAnsi="Times New Roman" w:cs="Times New Roman"/>
          <w:sz w:val="18"/>
          <w:szCs w:val="18"/>
        </w:rPr>
        <w:t>благополучних</w:t>
      </w:r>
      <w:r w:rsidR="00C66E83" w:rsidRPr="00237A71">
        <w:rPr>
          <w:rFonts w:ascii="Times New Roman" w:hAnsi="Times New Roman" w:cs="Times New Roman"/>
          <w:sz w:val="18"/>
          <w:szCs w:val="18"/>
        </w:rPr>
        <w:t>, як для України, так і світу в цілому</w:t>
      </w:r>
      <w:r w:rsidR="00AB533A" w:rsidRPr="00237A71">
        <w:rPr>
          <w:rFonts w:ascii="Times New Roman" w:hAnsi="Times New Roman" w:cs="Times New Roman"/>
          <w:sz w:val="18"/>
          <w:szCs w:val="18"/>
        </w:rPr>
        <w:t xml:space="preserve"> </w:t>
      </w:r>
      <w:r w:rsidR="00C66E83" w:rsidRPr="00237A71">
        <w:rPr>
          <w:rFonts w:ascii="Times New Roman" w:hAnsi="Times New Roman" w:cs="Times New Roman"/>
          <w:sz w:val="18"/>
          <w:szCs w:val="18"/>
        </w:rPr>
        <w:t>2001-2002 рр. (</w:t>
      </w:r>
      <w:r w:rsidR="00A445E8" w:rsidRPr="00237A71">
        <w:rPr>
          <w:rFonts w:ascii="Times New Roman" w:hAnsi="Times New Roman" w:cs="Times New Roman"/>
          <w:sz w:val="18"/>
          <w:szCs w:val="18"/>
        </w:rPr>
        <w:t>політична кр</w:t>
      </w:r>
      <w:r w:rsidR="00A445E8" w:rsidRPr="00237A71">
        <w:rPr>
          <w:rFonts w:ascii="Times New Roman" w:hAnsi="Times New Roman" w:cs="Times New Roman"/>
          <w:sz w:val="18"/>
          <w:szCs w:val="18"/>
        </w:rPr>
        <w:t>и</w:t>
      </w:r>
      <w:r w:rsidR="00A445E8" w:rsidRPr="00237A71">
        <w:rPr>
          <w:rFonts w:ascii="Times New Roman" w:hAnsi="Times New Roman" w:cs="Times New Roman"/>
          <w:sz w:val="18"/>
          <w:szCs w:val="18"/>
        </w:rPr>
        <w:t>за, мітинги, демонстрації, світова рецесія</w:t>
      </w:r>
      <w:r w:rsidR="00771CAD" w:rsidRPr="00237A71">
        <w:rPr>
          <w:rFonts w:ascii="Times New Roman" w:hAnsi="Times New Roman" w:cs="Times New Roman"/>
          <w:sz w:val="18"/>
          <w:szCs w:val="18"/>
        </w:rPr>
        <w:t xml:space="preserve"> економіки</w:t>
      </w:r>
      <w:r w:rsidR="00A445E8" w:rsidRPr="00237A71">
        <w:rPr>
          <w:rFonts w:ascii="Times New Roman" w:hAnsi="Times New Roman" w:cs="Times New Roman"/>
          <w:sz w:val="18"/>
          <w:szCs w:val="18"/>
        </w:rPr>
        <w:t xml:space="preserve"> і теракти)</w:t>
      </w:r>
      <w:r w:rsidR="00AD65E8" w:rsidRPr="00237A71">
        <w:rPr>
          <w:rFonts w:ascii="Times New Roman" w:hAnsi="Times New Roman" w:cs="Times New Roman"/>
          <w:sz w:val="18"/>
          <w:szCs w:val="18"/>
        </w:rPr>
        <w:t xml:space="preserve"> </w:t>
      </w:r>
      <w:r w:rsidR="00112EE7" w:rsidRPr="00237A71">
        <w:rPr>
          <w:rFonts w:ascii="Times New Roman" w:hAnsi="Times New Roman" w:cs="Times New Roman"/>
          <w:sz w:val="18"/>
          <w:szCs w:val="18"/>
        </w:rPr>
        <w:t>спостерігався вражаючий підйом у сфері міжнародного туризму, переважна більшість туристичних центрів повідомили про позитивні, і нерідко рекордні, результати. Виключні успіхи туристичного сектора в 2004 р. зобов'язані своїм походженням відновленню світової економіки і, зокрема, пожвавленню екон</w:t>
      </w:r>
      <w:r w:rsidR="00112EE7" w:rsidRPr="00237A71">
        <w:rPr>
          <w:rFonts w:ascii="Times New Roman" w:hAnsi="Times New Roman" w:cs="Times New Roman"/>
          <w:sz w:val="18"/>
          <w:szCs w:val="18"/>
        </w:rPr>
        <w:t>о</w:t>
      </w:r>
      <w:r w:rsidR="00112EE7" w:rsidRPr="00237A71">
        <w:rPr>
          <w:rFonts w:ascii="Times New Roman" w:hAnsi="Times New Roman" w:cs="Times New Roman"/>
          <w:sz w:val="18"/>
          <w:szCs w:val="18"/>
        </w:rPr>
        <w:t>мік основних американських і європейських ринків. Зокрема у всіх регіонах Європи повідомили про позитивні результати після трирічного періоду негативного зростання. При цьому, найвищі темпи приросту доходів були саме в Центрально-Східній Європі, де сприятливий валютний курс і факт вступу 10 нових членів до Європейського Союзу визначили позитивне зр</w:t>
      </w:r>
      <w:r w:rsidR="00112EE7" w:rsidRPr="00237A71">
        <w:rPr>
          <w:rFonts w:ascii="Times New Roman" w:hAnsi="Times New Roman" w:cs="Times New Roman"/>
          <w:sz w:val="18"/>
          <w:szCs w:val="18"/>
        </w:rPr>
        <w:t>о</w:t>
      </w:r>
      <w:r w:rsidR="00112EE7" w:rsidRPr="00237A71">
        <w:rPr>
          <w:rFonts w:ascii="Times New Roman" w:hAnsi="Times New Roman" w:cs="Times New Roman"/>
          <w:sz w:val="18"/>
          <w:szCs w:val="18"/>
        </w:rPr>
        <w:t>стання практично всіх основних напрямків. В Україні</w:t>
      </w:r>
      <w:r w:rsidR="002E0201" w:rsidRPr="00237A71">
        <w:rPr>
          <w:rFonts w:ascii="Times New Roman" w:hAnsi="Times New Roman" w:cs="Times New Roman"/>
          <w:sz w:val="18"/>
          <w:szCs w:val="18"/>
        </w:rPr>
        <w:t>, де</w:t>
      </w:r>
      <w:r w:rsidR="00112EE7" w:rsidRPr="00237A71">
        <w:rPr>
          <w:rFonts w:ascii="Times New Roman" w:hAnsi="Times New Roman" w:cs="Times New Roman"/>
          <w:sz w:val="18"/>
          <w:szCs w:val="18"/>
        </w:rPr>
        <w:t xml:space="preserve"> в 2004 р. </w:t>
      </w:r>
      <w:r w:rsidR="002E0201" w:rsidRPr="00237A71">
        <w:rPr>
          <w:rFonts w:ascii="Times New Roman" w:hAnsi="Times New Roman" w:cs="Times New Roman"/>
          <w:sz w:val="18"/>
          <w:szCs w:val="18"/>
        </w:rPr>
        <w:t xml:space="preserve">мав місце </w:t>
      </w:r>
      <w:r w:rsidR="00112EE7" w:rsidRPr="00237A71">
        <w:rPr>
          <w:rFonts w:ascii="Times New Roman" w:hAnsi="Times New Roman" w:cs="Times New Roman"/>
          <w:sz w:val="18"/>
          <w:szCs w:val="18"/>
        </w:rPr>
        <w:t>підйом економічної активності у більшості галузей економіки і на цій основі – підвищення рівня життя нас</w:t>
      </w:r>
      <w:r w:rsidR="00112EE7" w:rsidRPr="00237A71">
        <w:rPr>
          <w:rFonts w:ascii="Times New Roman" w:hAnsi="Times New Roman" w:cs="Times New Roman"/>
          <w:sz w:val="18"/>
          <w:szCs w:val="18"/>
        </w:rPr>
        <w:t>е</w:t>
      </w:r>
      <w:r w:rsidR="00112EE7" w:rsidRPr="00237A71">
        <w:rPr>
          <w:rFonts w:ascii="Times New Roman" w:hAnsi="Times New Roman" w:cs="Times New Roman"/>
          <w:sz w:val="18"/>
          <w:szCs w:val="18"/>
        </w:rPr>
        <w:t>лення громадян</w:t>
      </w:r>
      <w:r w:rsidR="002E0201" w:rsidRPr="00237A71">
        <w:rPr>
          <w:rFonts w:ascii="Times New Roman" w:hAnsi="Times New Roman" w:cs="Times New Roman"/>
          <w:sz w:val="18"/>
          <w:szCs w:val="18"/>
        </w:rPr>
        <w:t>, спостерігались ледь не найвищі за даний період темпи приросту капітальних інвестицій</w:t>
      </w:r>
      <w:r w:rsidR="00E8341E" w:rsidRPr="00237A71">
        <w:rPr>
          <w:rFonts w:ascii="Times New Roman" w:hAnsi="Times New Roman" w:cs="Times New Roman"/>
          <w:sz w:val="18"/>
          <w:szCs w:val="18"/>
        </w:rPr>
        <w:t xml:space="preserve"> (22,6%)</w:t>
      </w:r>
      <w:r w:rsidR="002E0201" w:rsidRPr="00237A71">
        <w:rPr>
          <w:rFonts w:ascii="Times New Roman" w:hAnsi="Times New Roman" w:cs="Times New Roman"/>
          <w:sz w:val="18"/>
          <w:szCs w:val="18"/>
        </w:rPr>
        <w:t xml:space="preserve">. Проте, головну роль </w:t>
      </w:r>
      <w:r w:rsidR="00E8341E" w:rsidRPr="00237A71">
        <w:rPr>
          <w:rFonts w:ascii="Times New Roman" w:hAnsi="Times New Roman" w:cs="Times New Roman"/>
          <w:sz w:val="18"/>
          <w:szCs w:val="18"/>
        </w:rPr>
        <w:t xml:space="preserve">у формуванні ВТП </w:t>
      </w:r>
      <w:r w:rsidR="002E0201" w:rsidRPr="00237A71">
        <w:rPr>
          <w:rFonts w:ascii="Times New Roman" w:hAnsi="Times New Roman" w:cs="Times New Roman"/>
          <w:sz w:val="18"/>
          <w:szCs w:val="18"/>
        </w:rPr>
        <w:t xml:space="preserve">відіграли доходи від іноземного туризму, які того року були рекордними </w:t>
      </w:r>
      <w:r w:rsidR="00AA4BF0" w:rsidRPr="00237A71">
        <w:rPr>
          <w:rFonts w:ascii="Times New Roman" w:hAnsi="Times New Roman" w:cs="Times New Roman"/>
          <w:sz w:val="18"/>
          <w:szCs w:val="18"/>
        </w:rPr>
        <w:t xml:space="preserve">– </w:t>
      </w:r>
      <w:r w:rsidR="002E0201" w:rsidRPr="00237A71">
        <w:rPr>
          <w:rFonts w:ascii="Times New Roman" w:hAnsi="Times New Roman" w:cs="Times New Roman"/>
          <w:sz w:val="18"/>
          <w:szCs w:val="18"/>
        </w:rPr>
        <w:t>майже 110%</w:t>
      </w:r>
      <w:r w:rsidR="00AA4BF0" w:rsidRPr="00237A71">
        <w:rPr>
          <w:rFonts w:ascii="Times New Roman" w:hAnsi="Times New Roman" w:cs="Times New Roman"/>
          <w:sz w:val="18"/>
          <w:szCs w:val="18"/>
        </w:rPr>
        <w:t xml:space="preserve"> (рис.4.</w:t>
      </w:r>
      <w:r w:rsidR="002E0201" w:rsidRPr="00237A71">
        <w:rPr>
          <w:rFonts w:ascii="Times New Roman" w:hAnsi="Times New Roman" w:cs="Times New Roman"/>
          <w:sz w:val="18"/>
          <w:szCs w:val="18"/>
        </w:rPr>
        <w:t xml:space="preserve">). </w:t>
      </w:r>
      <w:r w:rsidR="00AA4BF0" w:rsidRPr="00237A71">
        <w:rPr>
          <w:rFonts w:ascii="Times New Roman" w:hAnsi="Times New Roman" w:cs="Times New Roman"/>
          <w:sz w:val="18"/>
          <w:szCs w:val="18"/>
        </w:rPr>
        <w:t>Політична нестабільність, що прийшла на зміну політичної активності після чергових в</w:t>
      </w:r>
      <w:r w:rsidR="00DC5FCA" w:rsidRPr="00237A71">
        <w:rPr>
          <w:rFonts w:ascii="Times New Roman" w:hAnsi="Times New Roman" w:cs="Times New Roman"/>
          <w:sz w:val="18"/>
          <w:szCs w:val="18"/>
        </w:rPr>
        <w:t>ибор</w:t>
      </w:r>
      <w:r w:rsidR="00AA4BF0" w:rsidRPr="00237A71">
        <w:rPr>
          <w:rFonts w:ascii="Times New Roman" w:hAnsi="Times New Roman" w:cs="Times New Roman"/>
          <w:sz w:val="18"/>
          <w:szCs w:val="18"/>
        </w:rPr>
        <w:t>ів</w:t>
      </w:r>
      <w:r w:rsidR="00DC5FCA" w:rsidRPr="00237A71">
        <w:rPr>
          <w:rFonts w:ascii="Times New Roman" w:hAnsi="Times New Roman" w:cs="Times New Roman"/>
          <w:sz w:val="18"/>
          <w:szCs w:val="18"/>
        </w:rPr>
        <w:t xml:space="preserve"> президента</w:t>
      </w:r>
      <w:r w:rsidR="00AA4BF0" w:rsidRPr="00237A71">
        <w:rPr>
          <w:rFonts w:ascii="Times New Roman" w:hAnsi="Times New Roman" w:cs="Times New Roman"/>
          <w:sz w:val="18"/>
          <w:szCs w:val="18"/>
        </w:rPr>
        <w:t xml:space="preserve"> і</w:t>
      </w:r>
      <w:r w:rsidR="00DC5FCA" w:rsidRPr="00237A71">
        <w:rPr>
          <w:rFonts w:ascii="Times New Roman" w:hAnsi="Times New Roman" w:cs="Times New Roman"/>
          <w:sz w:val="18"/>
          <w:szCs w:val="18"/>
        </w:rPr>
        <w:t xml:space="preserve"> </w:t>
      </w:r>
      <w:r w:rsidR="00DC5FCA" w:rsidRPr="00237A71">
        <w:rPr>
          <w:rFonts w:ascii="Times New Roman" w:hAnsi="Times New Roman" w:cs="Times New Roman"/>
          <w:iCs/>
          <w:sz w:val="18"/>
          <w:szCs w:val="18"/>
        </w:rPr>
        <w:t>«Помаранчев</w:t>
      </w:r>
      <w:r w:rsidR="00AA4BF0" w:rsidRPr="00237A71">
        <w:rPr>
          <w:rFonts w:ascii="Times New Roman" w:hAnsi="Times New Roman" w:cs="Times New Roman"/>
          <w:iCs/>
          <w:sz w:val="18"/>
          <w:szCs w:val="18"/>
        </w:rPr>
        <w:t>ої</w:t>
      </w:r>
      <w:r w:rsidR="00DC5FCA" w:rsidRPr="00237A71">
        <w:rPr>
          <w:rFonts w:ascii="Times New Roman" w:hAnsi="Times New Roman" w:cs="Times New Roman"/>
          <w:iCs/>
          <w:sz w:val="18"/>
          <w:szCs w:val="18"/>
        </w:rPr>
        <w:t xml:space="preserve"> револю</w:t>
      </w:r>
      <w:r w:rsidR="00AA4BF0" w:rsidRPr="00237A71">
        <w:rPr>
          <w:rFonts w:ascii="Times New Roman" w:hAnsi="Times New Roman" w:cs="Times New Roman"/>
          <w:iCs/>
          <w:sz w:val="18"/>
          <w:szCs w:val="18"/>
        </w:rPr>
        <w:t>ції</w:t>
      </w:r>
      <w:r w:rsidR="00DC5FCA" w:rsidRPr="00237A71">
        <w:rPr>
          <w:rFonts w:ascii="Times New Roman" w:hAnsi="Times New Roman" w:cs="Times New Roman"/>
          <w:iCs/>
          <w:sz w:val="18"/>
          <w:szCs w:val="18"/>
        </w:rPr>
        <w:t>»</w:t>
      </w:r>
      <w:r w:rsidR="00AA4BF0" w:rsidRPr="00237A71">
        <w:rPr>
          <w:rFonts w:ascii="Times New Roman" w:hAnsi="Times New Roman" w:cs="Times New Roman"/>
          <w:iCs/>
          <w:sz w:val="18"/>
          <w:szCs w:val="18"/>
        </w:rPr>
        <w:t xml:space="preserve"> мала негативні наслідки у вигляді зниження темпів приросту ВТП вже в 2005 р. (-2,5%)</w:t>
      </w:r>
      <w:r w:rsidR="009E2EA6" w:rsidRPr="00237A71">
        <w:rPr>
          <w:rFonts w:ascii="Times New Roman" w:hAnsi="Times New Roman" w:cs="Times New Roman"/>
          <w:iCs/>
          <w:sz w:val="18"/>
          <w:szCs w:val="18"/>
        </w:rPr>
        <w:t>.</w:t>
      </w:r>
      <w:r w:rsidR="00A01FC5" w:rsidRPr="00237A71">
        <w:rPr>
          <w:rFonts w:ascii="Times New Roman" w:hAnsi="Times New Roman" w:cs="Times New Roman"/>
          <w:iCs/>
          <w:sz w:val="18"/>
          <w:szCs w:val="18"/>
        </w:rPr>
        <w:t xml:space="preserve"> Політична криза була завершена лише в 2007 р., що не змогло не сприяти черговому зростанню темпів приросту ВТП країни (</w:t>
      </w:r>
      <w:r w:rsidR="00390647" w:rsidRPr="00237A71">
        <w:rPr>
          <w:rFonts w:ascii="Times New Roman" w:hAnsi="Times New Roman" w:cs="Times New Roman"/>
          <w:iCs/>
          <w:sz w:val="18"/>
          <w:szCs w:val="18"/>
        </w:rPr>
        <w:t>5,5%</w:t>
      </w:r>
      <w:r w:rsidR="00A01FC5" w:rsidRPr="00237A71">
        <w:rPr>
          <w:rFonts w:ascii="Times New Roman" w:hAnsi="Times New Roman" w:cs="Times New Roman"/>
          <w:iCs/>
          <w:sz w:val="18"/>
          <w:szCs w:val="18"/>
        </w:rPr>
        <w:t>)</w:t>
      </w:r>
      <w:r w:rsidR="00390647" w:rsidRPr="00237A71">
        <w:rPr>
          <w:rFonts w:ascii="Times New Roman" w:hAnsi="Times New Roman" w:cs="Times New Roman"/>
          <w:iCs/>
          <w:sz w:val="18"/>
          <w:szCs w:val="18"/>
        </w:rPr>
        <w:t>.</w:t>
      </w:r>
    </w:p>
    <w:p w:rsidR="00112EE7" w:rsidRPr="00237A71" w:rsidRDefault="00112EE7" w:rsidP="00112EE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6348F9" w:rsidRPr="00237A71" w:rsidRDefault="006348F9" w:rsidP="00612EDE">
      <w:pPr>
        <w:spacing w:after="0"/>
        <w:jc w:val="both"/>
        <w:rPr>
          <w:rFonts w:ascii="Arial" w:hAnsi="Arial" w:cs="Arial"/>
          <w:bCs/>
          <w:sz w:val="32"/>
          <w:szCs w:val="32"/>
        </w:rPr>
      </w:pPr>
      <w:r w:rsidRPr="00237A71">
        <w:rPr>
          <w:noProof/>
          <w:lang w:eastAsia="uk-UA"/>
        </w:rPr>
        <w:lastRenderedPageBreak/>
        <w:drawing>
          <wp:inline distT="0" distB="0" distL="0" distR="0" wp14:anchorId="1CDACBAE" wp14:editId="10C4975F">
            <wp:extent cx="9109495" cy="2656936"/>
            <wp:effectExtent l="0" t="0" r="15875" b="1016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445E8" w:rsidRPr="00237A71" w:rsidRDefault="00612EDE" w:rsidP="00346D6D">
      <w:pPr>
        <w:jc w:val="center"/>
        <w:rPr>
          <w:rFonts w:ascii="Times New Roman" w:hAnsi="Times New Roman" w:cs="Times New Roman"/>
          <w:sz w:val="16"/>
          <w:szCs w:val="16"/>
        </w:rPr>
      </w:pPr>
      <w:r w:rsidRPr="00237A71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Рис. </w:t>
      </w:r>
      <w:r w:rsidR="006B7560" w:rsidRPr="00237A71">
        <w:rPr>
          <w:rFonts w:ascii="Times New Roman" w:eastAsia="Times New Roman" w:hAnsi="Times New Roman" w:cs="Times New Roman"/>
          <w:sz w:val="16"/>
          <w:szCs w:val="16"/>
          <w:lang w:eastAsia="uk-UA"/>
        </w:rPr>
        <w:t>4</w:t>
      </w:r>
      <w:r w:rsidRPr="00237A71">
        <w:rPr>
          <w:rFonts w:ascii="Times New Roman" w:eastAsia="Times New Roman" w:hAnsi="Times New Roman" w:cs="Times New Roman"/>
          <w:sz w:val="16"/>
          <w:szCs w:val="16"/>
          <w:lang w:eastAsia="uk-UA"/>
        </w:rPr>
        <w:t>. Темпи приросту складових валового туристичного продукту України</w:t>
      </w:r>
      <w:r w:rsidR="00346D6D" w:rsidRPr="00237A71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9365D" w:rsidRPr="00237A71" w:rsidRDefault="00A445E8" w:rsidP="00987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37A71">
        <w:rPr>
          <w:rFonts w:ascii="Times New Roman" w:hAnsi="Times New Roman" w:cs="Times New Roman"/>
          <w:sz w:val="18"/>
          <w:szCs w:val="18"/>
        </w:rPr>
        <w:t>Восени 2008 р. Україну вразила світова економічна</w:t>
      </w:r>
      <w:r w:rsidR="00F441D0" w:rsidRPr="00237A71">
        <w:rPr>
          <w:rFonts w:ascii="Times New Roman" w:hAnsi="Times New Roman" w:cs="Times New Roman"/>
          <w:sz w:val="18"/>
          <w:szCs w:val="18"/>
        </w:rPr>
        <w:t xml:space="preserve"> і фінансова </w:t>
      </w:r>
      <w:r w:rsidRPr="00237A71">
        <w:rPr>
          <w:rFonts w:ascii="Times New Roman" w:hAnsi="Times New Roman" w:cs="Times New Roman"/>
          <w:sz w:val="18"/>
          <w:szCs w:val="18"/>
        </w:rPr>
        <w:t>криза</w:t>
      </w:r>
      <w:r w:rsidR="00E9365D" w:rsidRPr="00237A71">
        <w:rPr>
          <w:rFonts w:ascii="Times New Roman" w:hAnsi="Times New Roman" w:cs="Times New Roman"/>
          <w:sz w:val="18"/>
          <w:szCs w:val="18"/>
        </w:rPr>
        <w:t xml:space="preserve">, </w:t>
      </w:r>
      <w:r w:rsidR="00C716D4" w:rsidRPr="00237A71">
        <w:rPr>
          <w:rFonts w:ascii="Times New Roman" w:hAnsi="Times New Roman" w:cs="Times New Roman"/>
          <w:sz w:val="18"/>
          <w:szCs w:val="18"/>
        </w:rPr>
        <w:t xml:space="preserve">яка </w:t>
      </w:r>
      <w:r w:rsidR="00F441D0" w:rsidRPr="00237A71">
        <w:rPr>
          <w:rFonts w:ascii="Times New Roman" w:hAnsi="Times New Roman" w:cs="Times New Roman"/>
          <w:sz w:val="18"/>
          <w:szCs w:val="18"/>
        </w:rPr>
        <w:t>поглибилась наступного року. Посилилося в суспільстві і політичне протистояння. Як наслідок, в 200</w:t>
      </w:r>
      <w:r w:rsidR="00427602" w:rsidRPr="00237A71">
        <w:rPr>
          <w:rFonts w:ascii="Times New Roman" w:hAnsi="Times New Roman" w:cs="Times New Roman"/>
          <w:sz w:val="18"/>
          <w:szCs w:val="18"/>
        </w:rPr>
        <w:t>9</w:t>
      </w:r>
      <w:r w:rsidR="00F441D0" w:rsidRPr="00237A71">
        <w:rPr>
          <w:rFonts w:ascii="Times New Roman" w:hAnsi="Times New Roman" w:cs="Times New Roman"/>
          <w:sz w:val="18"/>
          <w:szCs w:val="18"/>
        </w:rPr>
        <w:t xml:space="preserve"> р. темпи приросту ВТП України були найгіршими після 1996 р. При цьому </w:t>
      </w:r>
      <w:proofErr w:type="spellStart"/>
      <w:r w:rsidR="00F441D0" w:rsidRPr="00237A71">
        <w:rPr>
          <w:rFonts w:ascii="Times New Roman" w:hAnsi="Times New Roman" w:cs="Times New Roman"/>
          <w:sz w:val="18"/>
          <w:szCs w:val="18"/>
        </w:rPr>
        <w:t>відʼємні</w:t>
      </w:r>
      <w:proofErr w:type="spellEnd"/>
      <w:r w:rsidR="00F441D0" w:rsidRPr="00237A71">
        <w:rPr>
          <w:rFonts w:ascii="Times New Roman" w:hAnsi="Times New Roman" w:cs="Times New Roman"/>
          <w:sz w:val="18"/>
          <w:szCs w:val="18"/>
        </w:rPr>
        <w:t xml:space="preserve"> темпи приросту показали усі складові ВТП (рис.4.).</w:t>
      </w:r>
      <w:r w:rsidR="00054F47" w:rsidRPr="00237A71">
        <w:rPr>
          <w:rFonts w:ascii="Times New Roman" w:hAnsi="Times New Roman" w:cs="Times New Roman"/>
          <w:sz w:val="18"/>
          <w:szCs w:val="18"/>
        </w:rPr>
        <w:t xml:space="preserve"> </w:t>
      </w:r>
      <w:r w:rsidR="00F77999" w:rsidRPr="00237A71">
        <w:rPr>
          <w:rFonts w:ascii="Times New Roman" w:hAnsi="Times New Roman" w:cs="Times New Roman"/>
          <w:sz w:val="18"/>
          <w:szCs w:val="18"/>
        </w:rPr>
        <w:t>Після короткочасного відновлення ринку суспільн</w:t>
      </w:r>
      <w:r w:rsidR="00434A04">
        <w:rPr>
          <w:rFonts w:ascii="Times New Roman" w:hAnsi="Times New Roman" w:cs="Times New Roman"/>
          <w:sz w:val="18"/>
          <w:szCs w:val="18"/>
        </w:rPr>
        <w:t>о-політичн</w:t>
      </w:r>
      <w:r w:rsidR="00F77999" w:rsidRPr="00237A71">
        <w:rPr>
          <w:rFonts w:ascii="Times New Roman" w:hAnsi="Times New Roman" w:cs="Times New Roman"/>
          <w:sz w:val="18"/>
          <w:szCs w:val="18"/>
        </w:rPr>
        <w:t>а криза в Україні, що розпочалася 2013 р., спричинила чергове падіння темпів приросту ВТП (-18,1%).</w:t>
      </w:r>
      <w:r w:rsidR="00FA3C95" w:rsidRPr="00237A7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445E8" w:rsidRPr="00237A71" w:rsidRDefault="00054F47" w:rsidP="00987F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237A71">
        <w:rPr>
          <w:rFonts w:ascii="Times New Roman" w:hAnsi="Times New Roman" w:cs="Times New Roman"/>
          <w:sz w:val="18"/>
          <w:szCs w:val="18"/>
        </w:rPr>
        <w:t xml:space="preserve">Загалом за розглянутий період </w:t>
      </w:r>
      <w:r w:rsidR="00F77999" w:rsidRPr="00237A71">
        <w:rPr>
          <w:rFonts w:ascii="Times New Roman" w:hAnsi="Times New Roman" w:cs="Times New Roman"/>
          <w:sz w:val="18"/>
          <w:szCs w:val="18"/>
        </w:rPr>
        <w:t xml:space="preserve">відповідно до </w:t>
      </w:r>
      <w:r w:rsidR="00685BD9" w:rsidRPr="00237A71">
        <w:rPr>
          <w:rFonts w:ascii="Times New Roman" w:hAnsi="Times New Roman" w:cs="Times New Roman"/>
          <w:sz w:val="18"/>
          <w:szCs w:val="18"/>
        </w:rPr>
        <w:t xml:space="preserve">наведеного </w:t>
      </w:r>
      <w:r w:rsidR="00F77999" w:rsidRPr="00237A71">
        <w:rPr>
          <w:rFonts w:ascii="Times New Roman" w:hAnsi="Times New Roman" w:cs="Times New Roman"/>
          <w:sz w:val="18"/>
          <w:szCs w:val="18"/>
        </w:rPr>
        <w:t xml:space="preserve">тренду можна виділити </w:t>
      </w:r>
      <w:r w:rsidR="00685BD9" w:rsidRPr="00237A71">
        <w:rPr>
          <w:rFonts w:ascii="Times New Roman" w:hAnsi="Times New Roman" w:cs="Times New Roman"/>
          <w:sz w:val="18"/>
          <w:szCs w:val="18"/>
        </w:rPr>
        <w:t xml:space="preserve">два значні </w:t>
      </w:r>
      <w:r w:rsidR="00F77999" w:rsidRPr="00237A71">
        <w:rPr>
          <w:rFonts w:ascii="Times New Roman" w:hAnsi="Times New Roman" w:cs="Times New Roman"/>
          <w:sz w:val="18"/>
          <w:szCs w:val="18"/>
        </w:rPr>
        <w:t xml:space="preserve">етапи розвитку туристичного ринку України. Перший, що </w:t>
      </w:r>
      <w:r w:rsidR="00182822" w:rsidRPr="00237A71">
        <w:rPr>
          <w:rFonts w:ascii="Times New Roman" w:hAnsi="Times New Roman" w:cs="Times New Roman"/>
          <w:sz w:val="18"/>
          <w:szCs w:val="18"/>
        </w:rPr>
        <w:t xml:space="preserve">завершився </w:t>
      </w:r>
      <w:r w:rsidR="009978AD">
        <w:rPr>
          <w:rFonts w:ascii="Times New Roman" w:hAnsi="Times New Roman" w:cs="Times New Roman"/>
          <w:sz w:val="18"/>
          <w:szCs w:val="18"/>
        </w:rPr>
        <w:t xml:space="preserve">на початку </w:t>
      </w:r>
      <w:r w:rsidR="00685BD9" w:rsidRPr="00237A71">
        <w:rPr>
          <w:rFonts w:ascii="Times New Roman" w:hAnsi="Times New Roman" w:cs="Times New Roman"/>
          <w:sz w:val="18"/>
          <w:szCs w:val="18"/>
        </w:rPr>
        <w:t>пото</w:t>
      </w:r>
      <w:r w:rsidR="00685BD9" w:rsidRPr="00237A71">
        <w:rPr>
          <w:rFonts w:ascii="Times New Roman" w:hAnsi="Times New Roman" w:cs="Times New Roman"/>
          <w:sz w:val="18"/>
          <w:szCs w:val="18"/>
        </w:rPr>
        <w:t>ч</w:t>
      </w:r>
      <w:r w:rsidR="00685BD9" w:rsidRPr="00237A71">
        <w:rPr>
          <w:rFonts w:ascii="Times New Roman" w:hAnsi="Times New Roman" w:cs="Times New Roman"/>
          <w:sz w:val="18"/>
          <w:szCs w:val="18"/>
        </w:rPr>
        <w:t xml:space="preserve">ного століття </w:t>
      </w:r>
      <w:r w:rsidR="00427602" w:rsidRPr="00237A71">
        <w:rPr>
          <w:rFonts w:ascii="Times New Roman" w:hAnsi="Times New Roman" w:cs="Times New Roman"/>
          <w:sz w:val="18"/>
          <w:szCs w:val="18"/>
        </w:rPr>
        <w:t>(до 2005 р.)</w:t>
      </w:r>
      <w:r w:rsidR="00182822" w:rsidRPr="00237A71">
        <w:rPr>
          <w:rFonts w:ascii="Times New Roman" w:hAnsi="Times New Roman" w:cs="Times New Roman"/>
          <w:sz w:val="18"/>
          <w:szCs w:val="18"/>
        </w:rPr>
        <w:t>,</w:t>
      </w:r>
      <w:r w:rsidR="00427602" w:rsidRPr="00237A71">
        <w:rPr>
          <w:rFonts w:ascii="Times New Roman" w:hAnsi="Times New Roman" w:cs="Times New Roman"/>
          <w:sz w:val="18"/>
          <w:szCs w:val="18"/>
        </w:rPr>
        <w:t xml:space="preserve"> </w:t>
      </w:r>
      <w:r w:rsidR="00685BD9" w:rsidRPr="00237A71">
        <w:rPr>
          <w:rFonts w:ascii="Times New Roman" w:hAnsi="Times New Roman" w:cs="Times New Roman"/>
          <w:sz w:val="18"/>
          <w:szCs w:val="18"/>
        </w:rPr>
        <w:t>характеризувався поступовим розвитком</w:t>
      </w:r>
      <w:r w:rsidR="00427602" w:rsidRPr="00237A71">
        <w:rPr>
          <w:rFonts w:ascii="Times New Roman" w:hAnsi="Times New Roman" w:cs="Times New Roman"/>
          <w:sz w:val="18"/>
          <w:szCs w:val="18"/>
        </w:rPr>
        <w:t xml:space="preserve">, </w:t>
      </w:r>
      <w:r w:rsidR="00685BD9" w:rsidRPr="00237A71">
        <w:rPr>
          <w:rFonts w:ascii="Times New Roman" w:hAnsi="Times New Roman" w:cs="Times New Roman"/>
          <w:sz w:val="18"/>
          <w:szCs w:val="18"/>
        </w:rPr>
        <w:t xml:space="preserve">другий  </w:t>
      </w:r>
      <w:r w:rsidR="00427602" w:rsidRPr="00237A71">
        <w:rPr>
          <w:rFonts w:ascii="Times New Roman" w:hAnsi="Times New Roman" w:cs="Times New Roman"/>
          <w:sz w:val="18"/>
          <w:szCs w:val="18"/>
        </w:rPr>
        <w:t>– до наших днів – скоріше нагадує стагнацію</w:t>
      </w:r>
      <w:r w:rsidR="00FA3C95" w:rsidRPr="00237A71">
        <w:rPr>
          <w:rFonts w:ascii="Times New Roman" w:hAnsi="Times New Roman" w:cs="Times New Roman"/>
          <w:sz w:val="18"/>
          <w:szCs w:val="18"/>
        </w:rPr>
        <w:t xml:space="preserve">, що </w:t>
      </w:r>
      <w:r w:rsidR="00DB1304" w:rsidRPr="00237A71">
        <w:rPr>
          <w:rFonts w:ascii="Times New Roman" w:hAnsi="Times New Roman" w:cs="Times New Roman"/>
          <w:sz w:val="18"/>
          <w:szCs w:val="18"/>
        </w:rPr>
        <w:t xml:space="preserve">супроводжується </w:t>
      </w:r>
      <w:r w:rsidR="00FA3C95" w:rsidRPr="00237A71">
        <w:rPr>
          <w:rFonts w:ascii="Times New Roman" w:hAnsi="Times New Roman" w:cs="Times New Roman"/>
          <w:sz w:val="18"/>
          <w:szCs w:val="18"/>
        </w:rPr>
        <w:t>кризови</w:t>
      </w:r>
      <w:r w:rsidR="00DB1304" w:rsidRPr="00237A71">
        <w:rPr>
          <w:rFonts w:ascii="Times New Roman" w:hAnsi="Times New Roman" w:cs="Times New Roman"/>
          <w:sz w:val="18"/>
          <w:szCs w:val="18"/>
        </w:rPr>
        <w:t>ми</w:t>
      </w:r>
      <w:r w:rsidR="00FA3C95" w:rsidRPr="00237A71">
        <w:rPr>
          <w:rFonts w:ascii="Times New Roman" w:hAnsi="Times New Roman" w:cs="Times New Roman"/>
          <w:sz w:val="18"/>
          <w:szCs w:val="18"/>
        </w:rPr>
        <w:t xml:space="preserve"> явищ</w:t>
      </w:r>
      <w:r w:rsidR="00DB1304" w:rsidRPr="00237A71">
        <w:rPr>
          <w:rFonts w:ascii="Times New Roman" w:hAnsi="Times New Roman" w:cs="Times New Roman"/>
          <w:sz w:val="18"/>
          <w:szCs w:val="18"/>
        </w:rPr>
        <w:t>ами</w:t>
      </w:r>
      <w:r w:rsidR="00FA3C95" w:rsidRPr="00237A71">
        <w:rPr>
          <w:rFonts w:ascii="Times New Roman" w:hAnsi="Times New Roman" w:cs="Times New Roman"/>
          <w:sz w:val="18"/>
          <w:szCs w:val="18"/>
        </w:rPr>
        <w:t>.</w:t>
      </w:r>
    </w:p>
    <w:p w:rsidR="00302731" w:rsidRPr="00237A71" w:rsidRDefault="00302731" w:rsidP="00302731">
      <w:pPr>
        <w:spacing w:before="180" w:after="120"/>
        <w:ind w:firstLine="567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237A71">
        <w:rPr>
          <w:rFonts w:ascii="Times New Roman" w:eastAsia="Calibri" w:hAnsi="Times New Roman" w:cs="Times New Roman"/>
          <w:b/>
          <w:sz w:val="18"/>
          <w:szCs w:val="18"/>
        </w:rPr>
        <w:t>Висновки</w:t>
      </w:r>
    </w:p>
    <w:p w:rsidR="006A728D" w:rsidRPr="00237A71" w:rsidRDefault="00BF2C40" w:rsidP="00346D6D">
      <w:pPr>
        <w:spacing w:after="0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37A71">
        <w:rPr>
          <w:rFonts w:ascii="Times New Roman" w:eastAsia="Calibri" w:hAnsi="Times New Roman" w:cs="Times New Roman"/>
          <w:sz w:val="18"/>
          <w:szCs w:val="18"/>
        </w:rPr>
        <w:t xml:space="preserve">Туристичний ринок України чітко реагує на суспільні процеси, свідченням чого є </w:t>
      </w:r>
      <w:r w:rsidR="00937C94" w:rsidRPr="00237A71">
        <w:rPr>
          <w:rFonts w:ascii="Times New Roman" w:eastAsia="Calibri" w:hAnsi="Times New Roman" w:cs="Times New Roman"/>
          <w:sz w:val="18"/>
          <w:szCs w:val="18"/>
        </w:rPr>
        <w:t xml:space="preserve">закономірні </w:t>
      </w:r>
      <w:r w:rsidRPr="00237A71">
        <w:rPr>
          <w:rFonts w:ascii="Times New Roman" w:eastAsia="Calibri" w:hAnsi="Times New Roman" w:cs="Times New Roman"/>
          <w:sz w:val="18"/>
          <w:szCs w:val="18"/>
        </w:rPr>
        <w:t>зміни темпів приросту валового туристичного продукту України</w:t>
      </w:r>
      <w:r w:rsidR="00623233" w:rsidRPr="00237A71">
        <w:rPr>
          <w:rFonts w:ascii="Times New Roman" w:eastAsia="Calibri" w:hAnsi="Times New Roman" w:cs="Times New Roman"/>
          <w:sz w:val="18"/>
          <w:szCs w:val="18"/>
        </w:rPr>
        <w:t xml:space="preserve"> та його структури</w:t>
      </w:r>
      <w:r w:rsidRPr="00237A71">
        <w:rPr>
          <w:rFonts w:ascii="Times New Roman" w:eastAsia="Calibri" w:hAnsi="Times New Roman" w:cs="Times New Roman"/>
          <w:sz w:val="18"/>
          <w:szCs w:val="18"/>
        </w:rPr>
        <w:t xml:space="preserve">. </w:t>
      </w:r>
      <w:r w:rsidR="00937C94" w:rsidRPr="00237A71">
        <w:rPr>
          <w:rFonts w:ascii="Times New Roman" w:eastAsia="Calibri" w:hAnsi="Times New Roman" w:cs="Times New Roman"/>
          <w:sz w:val="18"/>
          <w:szCs w:val="18"/>
        </w:rPr>
        <w:t xml:space="preserve">Дані зміни мають циклічний характер </w:t>
      </w:r>
      <w:r w:rsidR="00D00C13" w:rsidRPr="00237A71">
        <w:rPr>
          <w:rFonts w:ascii="Times New Roman" w:eastAsia="Calibri" w:hAnsi="Times New Roman" w:cs="Times New Roman"/>
          <w:sz w:val="18"/>
          <w:szCs w:val="18"/>
        </w:rPr>
        <w:t xml:space="preserve">і проявляються </w:t>
      </w:r>
      <w:r w:rsidR="00283349" w:rsidRPr="00237A71">
        <w:rPr>
          <w:rFonts w:ascii="Times New Roman" w:eastAsia="Calibri" w:hAnsi="Times New Roman" w:cs="Times New Roman"/>
          <w:sz w:val="18"/>
          <w:szCs w:val="18"/>
        </w:rPr>
        <w:t xml:space="preserve">здебільшого </w:t>
      </w:r>
      <w:r w:rsidR="00D00C13" w:rsidRPr="00237A71">
        <w:rPr>
          <w:rFonts w:ascii="Times New Roman" w:eastAsia="Calibri" w:hAnsi="Times New Roman" w:cs="Times New Roman"/>
          <w:sz w:val="18"/>
          <w:szCs w:val="18"/>
        </w:rPr>
        <w:t>через короткі цикли</w:t>
      </w:r>
      <w:r w:rsidR="00283349" w:rsidRPr="00237A71">
        <w:rPr>
          <w:rFonts w:ascii="Times New Roman" w:eastAsia="Calibri" w:hAnsi="Times New Roman" w:cs="Times New Roman"/>
          <w:sz w:val="18"/>
          <w:szCs w:val="18"/>
        </w:rPr>
        <w:t xml:space="preserve">, кожний з яких </w:t>
      </w:r>
      <w:r w:rsidR="00283349" w:rsidRPr="00237A71">
        <w:rPr>
          <w:rFonts w:ascii="Times New Roman" w:hAnsi="Times New Roman" w:cs="Times New Roman"/>
          <w:sz w:val="18"/>
          <w:szCs w:val="18"/>
        </w:rPr>
        <w:t>супроводжується багаторазовим чергуванням низької, зростаючої, високої та спад</w:t>
      </w:r>
      <w:r w:rsidR="00283349" w:rsidRPr="00237A71">
        <w:rPr>
          <w:rFonts w:ascii="Times New Roman" w:hAnsi="Times New Roman" w:cs="Times New Roman"/>
          <w:sz w:val="18"/>
          <w:szCs w:val="18"/>
        </w:rPr>
        <w:t>а</w:t>
      </w:r>
      <w:r w:rsidR="00283349" w:rsidRPr="00237A71">
        <w:rPr>
          <w:rFonts w:ascii="Times New Roman" w:hAnsi="Times New Roman" w:cs="Times New Roman"/>
          <w:sz w:val="18"/>
          <w:szCs w:val="18"/>
        </w:rPr>
        <w:t xml:space="preserve">ючої </w:t>
      </w:r>
      <w:proofErr w:type="spellStart"/>
      <w:r w:rsidR="00283349" w:rsidRPr="00237A71">
        <w:rPr>
          <w:rFonts w:ascii="Times New Roman" w:hAnsi="Times New Roman" w:cs="Times New Roman"/>
          <w:sz w:val="18"/>
          <w:szCs w:val="18"/>
        </w:rPr>
        <w:t>конʼюнктури</w:t>
      </w:r>
      <w:proofErr w:type="spellEnd"/>
      <w:r w:rsidR="00D00C13" w:rsidRPr="00237A71">
        <w:rPr>
          <w:rFonts w:ascii="Times New Roman" w:eastAsia="Calibri" w:hAnsi="Times New Roman" w:cs="Times New Roman"/>
          <w:sz w:val="18"/>
          <w:szCs w:val="18"/>
        </w:rPr>
        <w:t>. Вирішальну роль у коливаннях темпів приросту валового туристичного продукту України від</w:t>
      </w:r>
      <w:r w:rsidR="00283349" w:rsidRPr="00237A71">
        <w:rPr>
          <w:rFonts w:ascii="Times New Roman" w:eastAsia="Calibri" w:hAnsi="Times New Roman" w:cs="Times New Roman"/>
          <w:sz w:val="18"/>
          <w:szCs w:val="18"/>
        </w:rPr>
        <w:t>і</w:t>
      </w:r>
      <w:r w:rsidR="00D00C13" w:rsidRPr="00237A71">
        <w:rPr>
          <w:rFonts w:ascii="Times New Roman" w:eastAsia="Calibri" w:hAnsi="Times New Roman" w:cs="Times New Roman"/>
          <w:sz w:val="18"/>
          <w:szCs w:val="18"/>
        </w:rPr>
        <w:t xml:space="preserve">грають доходи від іноземного та внутрішнього туризму, </w:t>
      </w:r>
      <w:r w:rsidR="006A728D" w:rsidRPr="00237A71">
        <w:rPr>
          <w:rFonts w:ascii="Times New Roman" w:eastAsia="Calibri" w:hAnsi="Times New Roman" w:cs="Times New Roman"/>
          <w:sz w:val="18"/>
          <w:szCs w:val="18"/>
        </w:rPr>
        <w:t xml:space="preserve">співвідношення яких </w:t>
      </w:r>
      <w:r w:rsidR="00D20107" w:rsidRPr="00237A71">
        <w:rPr>
          <w:rFonts w:ascii="Times New Roman" w:eastAsia="Calibri" w:hAnsi="Times New Roman" w:cs="Times New Roman"/>
          <w:sz w:val="18"/>
          <w:szCs w:val="18"/>
        </w:rPr>
        <w:t>залежить від стабільності суспільних процесів.</w:t>
      </w:r>
    </w:p>
    <w:p w:rsidR="00302731" w:rsidRPr="00237A71" w:rsidRDefault="00302731" w:rsidP="00AA0843">
      <w:pPr>
        <w:pStyle w:val="a9"/>
        <w:spacing w:after="0"/>
        <w:ind w:left="0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237A71">
        <w:rPr>
          <w:rFonts w:ascii="Times New Roman" w:eastAsia="Calibri" w:hAnsi="Times New Roman" w:cs="Times New Roman"/>
          <w:b/>
          <w:sz w:val="18"/>
          <w:szCs w:val="18"/>
        </w:rPr>
        <w:t>Список літератури</w:t>
      </w:r>
    </w:p>
    <w:p w:rsidR="00BE2919" w:rsidRPr="00237A71" w:rsidRDefault="00BE2919" w:rsidP="00BE2919">
      <w:pPr>
        <w:pStyle w:val="a9"/>
        <w:spacing w:after="120"/>
        <w:ind w:left="0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B10A75" w:rsidRPr="00237A71" w:rsidRDefault="00B10A75" w:rsidP="00BE2919">
      <w:pPr>
        <w:pStyle w:val="a9"/>
        <w:numPr>
          <w:ilvl w:val="0"/>
          <w:numId w:val="3"/>
        </w:numPr>
        <w:spacing w:after="0"/>
        <w:ind w:left="567" w:hanging="207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237A71">
        <w:rPr>
          <w:rFonts w:ascii="Times New Roman" w:hAnsi="Times New Roman" w:cs="Times New Roman"/>
          <w:sz w:val="18"/>
          <w:szCs w:val="18"/>
        </w:rPr>
        <w:t>International</w:t>
      </w:r>
      <w:proofErr w:type="spellEnd"/>
      <w:r w:rsidRPr="00237A7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37A71">
        <w:rPr>
          <w:rFonts w:ascii="Times New Roman" w:hAnsi="Times New Roman" w:cs="Times New Roman"/>
          <w:sz w:val="18"/>
          <w:szCs w:val="18"/>
        </w:rPr>
        <w:t>Recommendations</w:t>
      </w:r>
      <w:proofErr w:type="spellEnd"/>
      <w:r w:rsidRPr="00237A7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37A71">
        <w:rPr>
          <w:rFonts w:ascii="Times New Roman" w:hAnsi="Times New Roman" w:cs="Times New Roman"/>
          <w:sz w:val="18"/>
          <w:szCs w:val="18"/>
        </w:rPr>
        <w:t>for</w:t>
      </w:r>
      <w:proofErr w:type="spellEnd"/>
      <w:r w:rsidRPr="00237A7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37A71">
        <w:rPr>
          <w:rFonts w:ascii="Times New Roman" w:hAnsi="Times New Roman" w:cs="Times New Roman"/>
          <w:sz w:val="18"/>
          <w:szCs w:val="18"/>
        </w:rPr>
        <w:t>Tourism</w:t>
      </w:r>
      <w:proofErr w:type="spellEnd"/>
      <w:r w:rsidRPr="00237A7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37A71">
        <w:rPr>
          <w:rFonts w:ascii="Times New Roman" w:hAnsi="Times New Roman" w:cs="Times New Roman"/>
          <w:sz w:val="18"/>
          <w:szCs w:val="18"/>
        </w:rPr>
        <w:t>Statistics</w:t>
      </w:r>
      <w:proofErr w:type="spellEnd"/>
      <w:r w:rsidRPr="00237A71">
        <w:rPr>
          <w:rFonts w:ascii="Times New Roman" w:hAnsi="Times New Roman" w:cs="Times New Roman"/>
          <w:sz w:val="18"/>
          <w:szCs w:val="18"/>
        </w:rPr>
        <w:t xml:space="preserve"> 2008. [Електронний ресурс]. – Режим доступу: http://unstats.un.org/unsd/tradeserv/tourism/manual.html</w:t>
      </w:r>
    </w:p>
    <w:p w:rsidR="00B10A75" w:rsidRPr="00237A71" w:rsidRDefault="00B10A75" w:rsidP="00A804CA">
      <w:pPr>
        <w:pStyle w:val="a9"/>
        <w:numPr>
          <w:ilvl w:val="0"/>
          <w:numId w:val="3"/>
        </w:numPr>
        <w:spacing w:after="0"/>
        <w:ind w:left="567" w:hanging="207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237A71">
        <w:rPr>
          <w:rFonts w:ascii="Times New Roman" w:hAnsi="Times New Roman" w:cs="Times New Roman"/>
          <w:sz w:val="18"/>
          <w:szCs w:val="18"/>
        </w:rPr>
        <w:t>Tourism</w:t>
      </w:r>
      <w:proofErr w:type="spellEnd"/>
      <w:r w:rsidRPr="00237A7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37A71">
        <w:rPr>
          <w:rFonts w:ascii="Times New Roman" w:hAnsi="Times New Roman" w:cs="Times New Roman"/>
          <w:sz w:val="18"/>
          <w:szCs w:val="18"/>
        </w:rPr>
        <w:t>Satellite</w:t>
      </w:r>
      <w:proofErr w:type="spellEnd"/>
      <w:r w:rsidRPr="00237A7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37A71">
        <w:rPr>
          <w:rFonts w:ascii="Times New Roman" w:hAnsi="Times New Roman" w:cs="Times New Roman"/>
          <w:sz w:val="18"/>
          <w:szCs w:val="18"/>
        </w:rPr>
        <w:t>Account</w:t>
      </w:r>
      <w:proofErr w:type="spellEnd"/>
      <w:r w:rsidRPr="00237A71"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 w:rsidRPr="00237A71">
        <w:rPr>
          <w:rFonts w:ascii="Times New Roman" w:hAnsi="Times New Roman" w:cs="Times New Roman"/>
          <w:sz w:val="18"/>
          <w:szCs w:val="18"/>
        </w:rPr>
        <w:t>Recommended</w:t>
      </w:r>
      <w:proofErr w:type="spellEnd"/>
      <w:r w:rsidRPr="00237A7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37A71">
        <w:rPr>
          <w:rFonts w:ascii="Times New Roman" w:hAnsi="Times New Roman" w:cs="Times New Roman"/>
          <w:sz w:val="18"/>
          <w:szCs w:val="18"/>
        </w:rPr>
        <w:t>Methodological</w:t>
      </w:r>
      <w:proofErr w:type="spellEnd"/>
      <w:r w:rsidRPr="00237A71">
        <w:rPr>
          <w:rFonts w:ascii="Times New Roman" w:hAnsi="Times New Roman" w:cs="Times New Roman"/>
          <w:sz w:val="18"/>
          <w:szCs w:val="18"/>
        </w:rPr>
        <w:t xml:space="preserve"> Framework 2008. [Електронний ресурс]. – Режим доступу: http://unstats.un.org/unsd/tradeserv/tourism/manual.html</w:t>
      </w:r>
    </w:p>
    <w:p w:rsidR="00B10A75" w:rsidRPr="00237A71" w:rsidRDefault="00B10A75" w:rsidP="00A804CA">
      <w:pPr>
        <w:pStyle w:val="a9"/>
        <w:numPr>
          <w:ilvl w:val="0"/>
          <w:numId w:val="3"/>
        </w:numPr>
        <w:spacing w:after="0"/>
        <w:ind w:left="567" w:hanging="207"/>
        <w:jc w:val="both"/>
        <w:outlineLvl w:val="0"/>
        <w:rPr>
          <w:rStyle w:val="a3"/>
          <w:rFonts w:ascii="Times New Roman" w:hAnsi="Times New Roman" w:cs="Times New Roman"/>
          <w:color w:val="auto"/>
          <w:sz w:val="18"/>
          <w:szCs w:val="18"/>
          <w:u w:val="none"/>
        </w:rPr>
      </w:pPr>
      <w:r w:rsidRPr="00237A71">
        <w:rPr>
          <w:rFonts w:ascii="Times New Roman" w:eastAsia="Times New Roman" w:hAnsi="Times New Roman" w:cs="Times New Roman"/>
          <w:sz w:val="18"/>
          <w:szCs w:val="18"/>
          <w:lang w:eastAsia="uk-UA"/>
        </w:rPr>
        <w:t>WTTC/</w:t>
      </w:r>
      <w:proofErr w:type="spellStart"/>
      <w:r w:rsidRPr="00237A71">
        <w:rPr>
          <w:rFonts w:ascii="Times New Roman" w:eastAsia="Times New Roman" w:hAnsi="Times New Roman" w:cs="Times New Roman"/>
          <w:sz w:val="18"/>
          <w:szCs w:val="18"/>
          <w:lang w:eastAsia="uk-UA"/>
        </w:rPr>
        <w:t>Oxford</w:t>
      </w:r>
      <w:proofErr w:type="spellEnd"/>
      <w:r w:rsidRPr="00237A7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proofErr w:type="spellStart"/>
      <w:r w:rsidRPr="00237A71">
        <w:rPr>
          <w:rFonts w:ascii="Times New Roman" w:eastAsia="Times New Roman" w:hAnsi="Times New Roman" w:cs="Times New Roman"/>
          <w:sz w:val="18"/>
          <w:szCs w:val="18"/>
          <w:lang w:eastAsia="uk-UA"/>
        </w:rPr>
        <w:t>Economics</w:t>
      </w:r>
      <w:proofErr w:type="spellEnd"/>
      <w:r w:rsidRPr="00237A7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2014 </w:t>
      </w:r>
      <w:proofErr w:type="spellStart"/>
      <w:r w:rsidRPr="00237A71">
        <w:rPr>
          <w:rFonts w:ascii="Times New Roman" w:eastAsia="Times New Roman" w:hAnsi="Times New Roman" w:cs="Times New Roman"/>
          <w:sz w:val="18"/>
          <w:szCs w:val="18"/>
          <w:lang w:eastAsia="uk-UA"/>
        </w:rPr>
        <w:t>Travel</w:t>
      </w:r>
      <w:proofErr w:type="spellEnd"/>
      <w:r w:rsidRPr="00237A7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&amp; </w:t>
      </w:r>
      <w:proofErr w:type="spellStart"/>
      <w:r w:rsidRPr="00237A71">
        <w:rPr>
          <w:rFonts w:ascii="Times New Roman" w:eastAsia="Times New Roman" w:hAnsi="Times New Roman" w:cs="Times New Roman"/>
          <w:sz w:val="18"/>
          <w:szCs w:val="18"/>
          <w:lang w:eastAsia="uk-UA"/>
        </w:rPr>
        <w:t>Tourism</w:t>
      </w:r>
      <w:proofErr w:type="spellEnd"/>
      <w:r w:rsidRPr="00237A7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proofErr w:type="spellStart"/>
      <w:r w:rsidRPr="00237A71">
        <w:rPr>
          <w:rFonts w:ascii="Times New Roman" w:eastAsia="Times New Roman" w:hAnsi="Times New Roman" w:cs="Times New Roman"/>
          <w:sz w:val="18"/>
          <w:szCs w:val="18"/>
          <w:lang w:eastAsia="uk-UA"/>
        </w:rPr>
        <w:t>Economic</w:t>
      </w:r>
      <w:proofErr w:type="spellEnd"/>
      <w:r w:rsidRPr="00237A7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proofErr w:type="spellStart"/>
      <w:r w:rsidRPr="00237A71">
        <w:rPr>
          <w:rFonts w:ascii="Times New Roman" w:eastAsia="Times New Roman" w:hAnsi="Times New Roman" w:cs="Times New Roman"/>
          <w:sz w:val="18"/>
          <w:szCs w:val="18"/>
          <w:lang w:eastAsia="uk-UA"/>
        </w:rPr>
        <w:t>Impact</w:t>
      </w:r>
      <w:proofErr w:type="spellEnd"/>
      <w:r w:rsidRPr="00237A7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proofErr w:type="spellStart"/>
      <w:r w:rsidRPr="00237A71">
        <w:rPr>
          <w:rFonts w:ascii="Times New Roman" w:eastAsia="Times New Roman" w:hAnsi="Times New Roman" w:cs="Times New Roman"/>
          <w:sz w:val="18"/>
          <w:szCs w:val="18"/>
          <w:lang w:eastAsia="uk-UA"/>
        </w:rPr>
        <w:t>Methodology</w:t>
      </w:r>
      <w:proofErr w:type="spellEnd"/>
      <w:r w:rsidRPr="00237A7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. </w:t>
      </w:r>
      <w:r w:rsidRPr="00237A71">
        <w:rPr>
          <w:rFonts w:ascii="Times New Roman" w:hAnsi="Times New Roman" w:cs="Times New Roman"/>
          <w:sz w:val="18"/>
          <w:szCs w:val="18"/>
        </w:rPr>
        <w:t xml:space="preserve">[Електронний ресурс]. – Режим доступу: </w:t>
      </w:r>
      <w:hyperlink r:id="rId10" w:history="1">
        <w:r w:rsidRPr="00237A71">
          <w:rPr>
            <w:rStyle w:val="a3"/>
            <w:rFonts w:ascii="Times New Roman" w:hAnsi="Times New Roman" w:cs="Times New Roman"/>
            <w:color w:val="auto"/>
            <w:sz w:val="18"/>
            <w:szCs w:val="18"/>
            <w:u w:val="none"/>
          </w:rPr>
          <w:t>http://www.wttc.org/eng/Home/</w:t>
        </w:r>
      </w:hyperlink>
    </w:p>
    <w:p w:rsidR="00B10A75" w:rsidRPr="00237A71" w:rsidRDefault="00B10A75" w:rsidP="00A804CA">
      <w:pPr>
        <w:pStyle w:val="a9"/>
        <w:numPr>
          <w:ilvl w:val="0"/>
          <w:numId w:val="3"/>
        </w:numPr>
        <w:spacing w:after="0"/>
        <w:ind w:left="567" w:hanging="207"/>
        <w:jc w:val="both"/>
        <w:outlineLvl w:val="0"/>
        <w:rPr>
          <w:rFonts w:ascii="Times New Roman" w:hAnsi="Times New Roman" w:cs="Times New Roman"/>
          <w:iCs/>
          <w:sz w:val="18"/>
          <w:szCs w:val="18"/>
        </w:rPr>
      </w:pPr>
      <w:proofErr w:type="spellStart"/>
      <w:r w:rsidRPr="00237A71">
        <w:rPr>
          <w:rFonts w:ascii="Times New Roman" w:hAnsi="Times New Roman" w:cs="Times New Roman"/>
          <w:sz w:val="18"/>
          <w:szCs w:val="18"/>
        </w:rPr>
        <w:t>Мальська</w:t>
      </w:r>
      <w:proofErr w:type="spellEnd"/>
      <w:r w:rsidRPr="00237A71">
        <w:rPr>
          <w:rFonts w:ascii="Times New Roman" w:hAnsi="Times New Roman" w:cs="Times New Roman"/>
          <w:sz w:val="18"/>
          <w:szCs w:val="18"/>
        </w:rPr>
        <w:t xml:space="preserve"> М.П., Антонюк Н.В., Ганич Н.М. Міжнародний туризм і сфера послуг: Підручник. – К.: Знання, 2008.– 661 с.</w:t>
      </w:r>
    </w:p>
    <w:p w:rsidR="000D3A7A" w:rsidRPr="00237A71" w:rsidRDefault="00B10A75" w:rsidP="00A804CA">
      <w:pPr>
        <w:pStyle w:val="a9"/>
        <w:numPr>
          <w:ilvl w:val="0"/>
          <w:numId w:val="3"/>
        </w:numPr>
        <w:spacing w:after="0"/>
        <w:ind w:left="567" w:hanging="207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proofErr w:type="spellStart"/>
      <w:r w:rsidRPr="00237A71">
        <w:rPr>
          <w:rFonts w:ascii="Times New Roman" w:hAnsi="Times New Roman" w:cs="Times New Roman"/>
          <w:sz w:val="18"/>
          <w:szCs w:val="18"/>
        </w:rPr>
        <w:t>Пестушко</w:t>
      </w:r>
      <w:proofErr w:type="spellEnd"/>
      <w:r w:rsidRPr="00237A71">
        <w:rPr>
          <w:rFonts w:ascii="Times New Roman" w:hAnsi="Times New Roman" w:cs="Times New Roman"/>
          <w:sz w:val="18"/>
          <w:szCs w:val="18"/>
        </w:rPr>
        <w:t xml:space="preserve"> В.Ю.  </w:t>
      </w:r>
      <w:r w:rsidR="000D3A7A" w:rsidRPr="00237A71">
        <w:rPr>
          <w:rFonts w:ascii="Times New Roman" w:hAnsi="Times New Roman" w:cs="Times New Roman"/>
          <w:sz w:val="18"/>
          <w:szCs w:val="18"/>
        </w:rPr>
        <w:t xml:space="preserve">Проблеми статистичного обліку в’їзного туризму в Україні </w:t>
      </w:r>
      <w:r w:rsidRPr="00237A71">
        <w:rPr>
          <w:rFonts w:ascii="Times New Roman" w:hAnsi="Times New Roman" w:cs="Times New Roman"/>
          <w:sz w:val="18"/>
          <w:szCs w:val="18"/>
        </w:rPr>
        <w:t>//</w:t>
      </w:r>
      <w:r w:rsidR="000D3A7A" w:rsidRPr="00237A71">
        <w:rPr>
          <w:rFonts w:ascii="Times New Roman" w:hAnsi="Times New Roman" w:cs="Times New Roman"/>
          <w:sz w:val="18"/>
          <w:szCs w:val="18"/>
        </w:rPr>
        <w:t xml:space="preserve"> Географія та туризм: Наук. Зб.–К. </w:t>
      </w:r>
      <w:proofErr w:type="spellStart"/>
      <w:r w:rsidR="000D3A7A" w:rsidRPr="00237A71">
        <w:rPr>
          <w:rFonts w:ascii="Times New Roman" w:hAnsi="Times New Roman" w:cs="Times New Roman"/>
          <w:sz w:val="18"/>
          <w:szCs w:val="18"/>
        </w:rPr>
        <w:t>Альтерпрес</w:t>
      </w:r>
      <w:proofErr w:type="spellEnd"/>
      <w:r w:rsidR="000D3A7A" w:rsidRPr="00237A71">
        <w:rPr>
          <w:rFonts w:ascii="Times New Roman" w:hAnsi="Times New Roman" w:cs="Times New Roman"/>
          <w:sz w:val="18"/>
          <w:szCs w:val="18"/>
        </w:rPr>
        <w:t>, 2011.–Вип.14.–с.43-46</w:t>
      </w:r>
    </w:p>
    <w:p w:rsidR="00B10A75" w:rsidRPr="00237A71" w:rsidRDefault="00B10A75" w:rsidP="00A804CA">
      <w:pPr>
        <w:pStyle w:val="a9"/>
        <w:numPr>
          <w:ilvl w:val="0"/>
          <w:numId w:val="3"/>
        </w:numPr>
        <w:spacing w:after="0"/>
        <w:ind w:left="567" w:hanging="207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237A71">
        <w:rPr>
          <w:rFonts w:ascii="Times New Roman" w:hAnsi="Times New Roman" w:cs="Times New Roman"/>
          <w:bCs/>
          <w:sz w:val="18"/>
          <w:szCs w:val="18"/>
        </w:rPr>
        <w:t>Туристичні потоки</w:t>
      </w:r>
      <w:r w:rsidRPr="00237A71">
        <w:rPr>
          <w:rFonts w:ascii="Times New Roman" w:hAnsi="Times New Roman" w:cs="Times New Roman"/>
          <w:sz w:val="18"/>
          <w:szCs w:val="18"/>
        </w:rPr>
        <w:t>. [Електронний ресурс]. – Режим доступу: http://ukrstat.org/uk/operativ/operativ2007/tyr/tyr_u/potoki2006_u.htm</w:t>
      </w:r>
    </w:p>
    <w:p w:rsidR="00302731" w:rsidRDefault="00302731" w:rsidP="0030273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0095B" w:rsidRPr="0010095B" w:rsidRDefault="0010095B" w:rsidP="0030273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0095B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lastRenderedPageBreak/>
        <w:t xml:space="preserve">Авіа-2015: </w:t>
      </w:r>
      <w:proofErr w:type="spellStart"/>
      <w:r w:rsidRPr="0010095B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матері-али</w:t>
      </w:r>
      <w:proofErr w:type="spellEnd"/>
      <w:r w:rsidRPr="0010095B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10095B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Міжн</w:t>
      </w:r>
      <w:proofErr w:type="spellEnd"/>
      <w:r w:rsidRPr="0010095B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. </w:t>
      </w:r>
      <w:proofErr w:type="spellStart"/>
      <w:r w:rsidRPr="0010095B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наук.-</w:t>
      </w:r>
      <w:proofErr w:type="spellEnd"/>
      <w:r w:rsidRPr="0010095B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10095B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практ.конф</w:t>
      </w:r>
      <w:proofErr w:type="spellEnd"/>
      <w:r w:rsidRPr="0010095B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.,м. Київ, 28–29 кві</w:t>
      </w:r>
      <w:r w:rsidRPr="0010095B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т</w:t>
      </w:r>
      <w:r w:rsidRPr="0010095B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ня 2015 р. – С. 34.21–34.25.</w:t>
      </w:r>
      <w:r w:rsidRPr="0010095B">
        <w:rPr>
          <w:rStyle w:val="apple-converted-space"/>
          <w:rFonts w:ascii="Times New Roman" w:hAnsi="Times New Roman" w:cs="Times New Roman"/>
          <w:sz w:val="19"/>
          <w:szCs w:val="19"/>
          <w:shd w:val="clear" w:color="auto" w:fill="FFFFFF"/>
        </w:rPr>
        <w:t> </w:t>
      </w:r>
    </w:p>
    <w:p w:rsidR="00302731" w:rsidRPr="00237A71" w:rsidRDefault="00302731" w:rsidP="00302731">
      <w:bookmarkStart w:id="0" w:name="_GoBack"/>
      <w:bookmarkEnd w:id="0"/>
    </w:p>
    <w:sectPr w:rsidR="00302731" w:rsidRPr="00237A71" w:rsidSect="00890A2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F0657"/>
    <w:multiLevelType w:val="hybridMultilevel"/>
    <w:tmpl w:val="DED4E8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B31A2"/>
    <w:multiLevelType w:val="hybridMultilevel"/>
    <w:tmpl w:val="AE56B9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8466C0"/>
    <w:multiLevelType w:val="hybridMultilevel"/>
    <w:tmpl w:val="E76E0B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22C"/>
    <w:rsid w:val="000027E5"/>
    <w:rsid w:val="00003054"/>
    <w:rsid w:val="000030E4"/>
    <w:rsid w:val="000035AB"/>
    <w:rsid w:val="0000362D"/>
    <w:rsid w:val="000053BC"/>
    <w:rsid w:val="00007D65"/>
    <w:rsid w:val="0001036D"/>
    <w:rsid w:val="00010A38"/>
    <w:rsid w:val="00011DF5"/>
    <w:rsid w:val="00012B99"/>
    <w:rsid w:val="000135F0"/>
    <w:rsid w:val="00013E61"/>
    <w:rsid w:val="00013F52"/>
    <w:rsid w:val="000147B0"/>
    <w:rsid w:val="000151EE"/>
    <w:rsid w:val="000157E1"/>
    <w:rsid w:val="00015BE0"/>
    <w:rsid w:val="00015D7B"/>
    <w:rsid w:val="000203CC"/>
    <w:rsid w:val="00020B99"/>
    <w:rsid w:val="00021046"/>
    <w:rsid w:val="00021939"/>
    <w:rsid w:val="00021E08"/>
    <w:rsid w:val="000224D9"/>
    <w:rsid w:val="00022EED"/>
    <w:rsid w:val="00023F1A"/>
    <w:rsid w:val="000246F4"/>
    <w:rsid w:val="0002472E"/>
    <w:rsid w:val="00024D58"/>
    <w:rsid w:val="00030189"/>
    <w:rsid w:val="0003085C"/>
    <w:rsid w:val="00030E4B"/>
    <w:rsid w:val="000326E2"/>
    <w:rsid w:val="00033F6B"/>
    <w:rsid w:val="000340CD"/>
    <w:rsid w:val="0003433D"/>
    <w:rsid w:val="00034761"/>
    <w:rsid w:val="00034F3D"/>
    <w:rsid w:val="00034F5C"/>
    <w:rsid w:val="000353F0"/>
    <w:rsid w:val="00035A18"/>
    <w:rsid w:val="00036248"/>
    <w:rsid w:val="00036303"/>
    <w:rsid w:val="000369D9"/>
    <w:rsid w:val="00037DC7"/>
    <w:rsid w:val="00037DD3"/>
    <w:rsid w:val="00037DDE"/>
    <w:rsid w:val="00040369"/>
    <w:rsid w:val="00040EDF"/>
    <w:rsid w:val="00041BBF"/>
    <w:rsid w:val="000430D5"/>
    <w:rsid w:val="000437C4"/>
    <w:rsid w:val="000447CE"/>
    <w:rsid w:val="00044FC5"/>
    <w:rsid w:val="00045F57"/>
    <w:rsid w:val="00046EA5"/>
    <w:rsid w:val="000476A5"/>
    <w:rsid w:val="00047EF3"/>
    <w:rsid w:val="00050435"/>
    <w:rsid w:val="00051986"/>
    <w:rsid w:val="0005226F"/>
    <w:rsid w:val="000529B5"/>
    <w:rsid w:val="00052AF7"/>
    <w:rsid w:val="000530D0"/>
    <w:rsid w:val="000542F1"/>
    <w:rsid w:val="000544DD"/>
    <w:rsid w:val="000547FC"/>
    <w:rsid w:val="000549E0"/>
    <w:rsid w:val="00054F47"/>
    <w:rsid w:val="000557C8"/>
    <w:rsid w:val="00055D79"/>
    <w:rsid w:val="00055ED6"/>
    <w:rsid w:val="00055F1B"/>
    <w:rsid w:val="000562C7"/>
    <w:rsid w:val="00056AF8"/>
    <w:rsid w:val="00057064"/>
    <w:rsid w:val="000571C9"/>
    <w:rsid w:val="0005782D"/>
    <w:rsid w:val="0006023B"/>
    <w:rsid w:val="0006025C"/>
    <w:rsid w:val="00062577"/>
    <w:rsid w:val="000625CE"/>
    <w:rsid w:val="00063C6B"/>
    <w:rsid w:val="00063D15"/>
    <w:rsid w:val="000640E4"/>
    <w:rsid w:val="00064583"/>
    <w:rsid w:val="000676EC"/>
    <w:rsid w:val="0007008A"/>
    <w:rsid w:val="0007041E"/>
    <w:rsid w:val="0007176D"/>
    <w:rsid w:val="0007215D"/>
    <w:rsid w:val="0007221A"/>
    <w:rsid w:val="00072A2F"/>
    <w:rsid w:val="0007344C"/>
    <w:rsid w:val="00073764"/>
    <w:rsid w:val="000747B5"/>
    <w:rsid w:val="00074B0A"/>
    <w:rsid w:val="00075F46"/>
    <w:rsid w:val="00077E04"/>
    <w:rsid w:val="00077EF9"/>
    <w:rsid w:val="00080058"/>
    <w:rsid w:val="00081225"/>
    <w:rsid w:val="00082AB8"/>
    <w:rsid w:val="00082F3E"/>
    <w:rsid w:val="00082FA9"/>
    <w:rsid w:val="00083EF0"/>
    <w:rsid w:val="0008469C"/>
    <w:rsid w:val="00085A2A"/>
    <w:rsid w:val="00085BC1"/>
    <w:rsid w:val="00085BD7"/>
    <w:rsid w:val="000864A9"/>
    <w:rsid w:val="000865F2"/>
    <w:rsid w:val="000876B0"/>
    <w:rsid w:val="00087D5E"/>
    <w:rsid w:val="00091634"/>
    <w:rsid w:val="0009174B"/>
    <w:rsid w:val="000917B9"/>
    <w:rsid w:val="00091A80"/>
    <w:rsid w:val="00092DF0"/>
    <w:rsid w:val="000942DA"/>
    <w:rsid w:val="000959D2"/>
    <w:rsid w:val="00095A8F"/>
    <w:rsid w:val="0009615D"/>
    <w:rsid w:val="0009618B"/>
    <w:rsid w:val="000972E1"/>
    <w:rsid w:val="00097E7C"/>
    <w:rsid w:val="000A06D1"/>
    <w:rsid w:val="000A15D8"/>
    <w:rsid w:val="000A1D8C"/>
    <w:rsid w:val="000A1F50"/>
    <w:rsid w:val="000A1FA9"/>
    <w:rsid w:val="000A2835"/>
    <w:rsid w:val="000A2922"/>
    <w:rsid w:val="000A345A"/>
    <w:rsid w:val="000A345F"/>
    <w:rsid w:val="000A397C"/>
    <w:rsid w:val="000A4526"/>
    <w:rsid w:val="000A4A40"/>
    <w:rsid w:val="000A59B2"/>
    <w:rsid w:val="000A5A3C"/>
    <w:rsid w:val="000A5BC8"/>
    <w:rsid w:val="000A6982"/>
    <w:rsid w:val="000A74CB"/>
    <w:rsid w:val="000A79E5"/>
    <w:rsid w:val="000B0B21"/>
    <w:rsid w:val="000B16D5"/>
    <w:rsid w:val="000B1769"/>
    <w:rsid w:val="000B2E9B"/>
    <w:rsid w:val="000B50A1"/>
    <w:rsid w:val="000B68AB"/>
    <w:rsid w:val="000B6A19"/>
    <w:rsid w:val="000B6EEE"/>
    <w:rsid w:val="000B7769"/>
    <w:rsid w:val="000B7E63"/>
    <w:rsid w:val="000C0218"/>
    <w:rsid w:val="000C045A"/>
    <w:rsid w:val="000C1371"/>
    <w:rsid w:val="000C18C4"/>
    <w:rsid w:val="000C3113"/>
    <w:rsid w:val="000C589F"/>
    <w:rsid w:val="000C7C05"/>
    <w:rsid w:val="000C7C17"/>
    <w:rsid w:val="000C7EAF"/>
    <w:rsid w:val="000C7FD9"/>
    <w:rsid w:val="000D0021"/>
    <w:rsid w:val="000D0173"/>
    <w:rsid w:val="000D083C"/>
    <w:rsid w:val="000D0A1B"/>
    <w:rsid w:val="000D1A1E"/>
    <w:rsid w:val="000D204F"/>
    <w:rsid w:val="000D2838"/>
    <w:rsid w:val="000D2FBC"/>
    <w:rsid w:val="000D3A7A"/>
    <w:rsid w:val="000D47F3"/>
    <w:rsid w:val="000D4815"/>
    <w:rsid w:val="000D5AC5"/>
    <w:rsid w:val="000D5B16"/>
    <w:rsid w:val="000D6144"/>
    <w:rsid w:val="000D6179"/>
    <w:rsid w:val="000D63ED"/>
    <w:rsid w:val="000D6D4F"/>
    <w:rsid w:val="000E0186"/>
    <w:rsid w:val="000E0625"/>
    <w:rsid w:val="000E393D"/>
    <w:rsid w:val="000E41F9"/>
    <w:rsid w:val="000E462B"/>
    <w:rsid w:val="000E5253"/>
    <w:rsid w:val="000E5CCA"/>
    <w:rsid w:val="000E5D9E"/>
    <w:rsid w:val="000E67C9"/>
    <w:rsid w:val="000E6ECD"/>
    <w:rsid w:val="000F007A"/>
    <w:rsid w:val="000F0BF4"/>
    <w:rsid w:val="000F0C37"/>
    <w:rsid w:val="000F12E4"/>
    <w:rsid w:val="000F1546"/>
    <w:rsid w:val="000F2182"/>
    <w:rsid w:val="000F3489"/>
    <w:rsid w:val="000F39E6"/>
    <w:rsid w:val="000F47D8"/>
    <w:rsid w:val="000F4E38"/>
    <w:rsid w:val="000F51B1"/>
    <w:rsid w:val="000F6039"/>
    <w:rsid w:val="000F6A03"/>
    <w:rsid w:val="000F7870"/>
    <w:rsid w:val="0010095B"/>
    <w:rsid w:val="00101708"/>
    <w:rsid w:val="00101709"/>
    <w:rsid w:val="00101F6D"/>
    <w:rsid w:val="001027BE"/>
    <w:rsid w:val="00102CEA"/>
    <w:rsid w:val="00102FE9"/>
    <w:rsid w:val="0010301C"/>
    <w:rsid w:val="00103033"/>
    <w:rsid w:val="00103799"/>
    <w:rsid w:val="00103CFD"/>
    <w:rsid w:val="00103E26"/>
    <w:rsid w:val="00104288"/>
    <w:rsid w:val="0010431D"/>
    <w:rsid w:val="0010600C"/>
    <w:rsid w:val="00106665"/>
    <w:rsid w:val="0010689E"/>
    <w:rsid w:val="0010730A"/>
    <w:rsid w:val="00110168"/>
    <w:rsid w:val="001106C0"/>
    <w:rsid w:val="00110769"/>
    <w:rsid w:val="00110D32"/>
    <w:rsid w:val="00110FFE"/>
    <w:rsid w:val="001119E6"/>
    <w:rsid w:val="00111AD8"/>
    <w:rsid w:val="00111C33"/>
    <w:rsid w:val="001125BB"/>
    <w:rsid w:val="00112DFF"/>
    <w:rsid w:val="00112EE7"/>
    <w:rsid w:val="0011345B"/>
    <w:rsid w:val="00113811"/>
    <w:rsid w:val="00114182"/>
    <w:rsid w:val="00114AE7"/>
    <w:rsid w:val="00114B65"/>
    <w:rsid w:val="001153B3"/>
    <w:rsid w:val="00115564"/>
    <w:rsid w:val="00116483"/>
    <w:rsid w:val="0011677C"/>
    <w:rsid w:val="00116E8A"/>
    <w:rsid w:val="00117695"/>
    <w:rsid w:val="0011791F"/>
    <w:rsid w:val="00117A67"/>
    <w:rsid w:val="00120433"/>
    <w:rsid w:val="0012089A"/>
    <w:rsid w:val="00122574"/>
    <w:rsid w:val="001229E1"/>
    <w:rsid w:val="001230C0"/>
    <w:rsid w:val="00124747"/>
    <w:rsid w:val="00124DE6"/>
    <w:rsid w:val="001254B8"/>
    <w:rsid w:val="00126F8D"/>
    <w:rsid w:val="00127139"/>
    <w:rsid w:val="0013027D"/>
    <w:rsid w:val="00130E53"/>
    <w:rsid w:val="0013199E"/>
    <w:rsid w:val="00134F57"/>
    <w:rsid w:val="001361D7"/>
    <w:rsid w:val="001367D0"/>
    <w:rsid w:val="00136C55"/>
    <w:rsid w:val="00136D49"/>
    <w:rsid w:val="00136E4A"/>
    <w:rsid w:val="00137552"/>
    <w:rsid w:val="00141314"/>
    <w:rsid w:val="001414A3"/>
    <w:rsid w:val="00141C20"/>
    <w:rsid w:val="00141DD2"/>
    <w:rsid w:val="001422AA"/>
    <w:rsid w:val="00143209"/>
    <w:rsid w:val="0014331E"/>
    <w:rsid w:val="00143DB6"/>
    <w:rsid w:val="00144A89"/>
    <w:rsid w:val="00145885"/>
    <w:rsid w:val="00145926"/>
    <w:rsid w:val="00145B96"/>
    <w:rsid w:val="00145F50"/>
    <w:rsid w:val="001460B9"/>
    <w:rsid w:val="00146A78"/>
    <w:rsid w:val="00146C09"/>
    <w:rsid w:val="00150814"/>
    <w:rsid w:val="001508FC"/>
    <w:rsid w:val="00150B37"/>
    <w:rsid w:val="00150E3F"/>
    <w:rsid w:val="0015191F"/>
    <w:rsid w:val="00151CA6"/>
    <w:rsid w:val="0015212D"/>
    <w:rsid w:val="0015247A"/>
    <w:rsid w:val="001525B6"/>
    <w:rsid w:val="001526FE"/>
    <w:rsid w:val="00154535"/>
    <w:rsid w:val="00154674"/>
    <w:rsid w:val="00154D64"/>
    <w:rsid w:val="00155498"/>
    <w:rsid w:val="00155C6D"/>
    <w:rsid w:val="00155DA0"/>
    <w:rsid w:val="00156A5A"/>
    <w:rsid w:val="00156DFD"/>
    <w:rsid w:val="00157597"/>
    <w:rsid w:val="001613DD"/>
    <w:rsid w:val="00161EC9"/>
    <w:rsid w:val="00162A82"/>
    <w:rsid w:val="00162D8F"/>
    <w:rsid w:val="001634B7"/>
    <w:rsid w:val="00163510"/>
    <w:rsid w:val="00164828"/>
    <w:rsid w:val="00164D5F"/>
    <w:rsid w:val="00166D7B"/>
    <w:rsid w:val="0016785F"/>
    <w:rsid w:val="00167C85"/>
    <w:rsid w:val="00167D61"/>
    <w:rsid w:val="001704E8"/>
    <w:rsid w:val="0017107B"/>
    <w:rsid w:val="00171A4B"/>
    <w:rsid w:val="00171C98"/>
    <w:rsid w:val="001720DA"/>
    <w:rsid w:val="001731ED"/>
    <w:rsid w:val="00173A70"/>
    <w:rsid w:val="001745F5"/>
    <w:rsid w:val="00174C3C"/>
    <w:rsid w:val="00175092"/>
    <w:rsid w:val="00176EF3"/>
    <w:rsid w:val="001771EF"/>
    <w:rsid w:val="001779EB"/>
    <w:rsid w:val="00182015"/>
    <w:rsid w:val="00182822"/>
    <w:rsid w:val="00183288"/>
    <w:rsid w:val="00183A56"/>
    <w:rsid w:val="00184113"/>
    <w:rsid w:val="001858B3"/>
    <w:rsid w:val="00185D3F"/>
    <w:rsid w:val="00186566"/>
    <w:rsid w:val="00187E97"/>
    <w:rsid w:val="00190388"/>
    <w:rsid w:val="00190EB8"/>
    <w:rsid w:val="00193524"/>
    <w:rsid w:val="00194DA3"/>
    <w:rsid w:val="00195257"/>
    <w:rsid w:val="00195327"/>
    <w:rsid w:val="0019564C"/>
    <w:rsid w:val="001958D0"/>
    <w:rsid w:val="00195AA6"/>
    <w:rsid w:val="00195BF9"/>
    <w:rsid w:val="001960F8"/>
    <w:rsid w:val="00197347"/>
    <w:rsid w:val="001A037D"/>
    <w:rsid w:val="001A0844"/>
    <w:rsid w:val="001A0E54"/>
    <w:rsid w:val="001A168F"/>
    <w:rsid w:val="001A213F"/>
    <w:rsid w:val="001A2657"/>
    <w:rsid w:val="001A289D"/>
    <w:rsid w:val="001A2E32"/>
    <w:rsid w:val="001A5957"/>
    <w:rsid w:val="001A6CBB"/>
    <w:rsid w:val="001A72E1"/>
    <w:rsid w:val="001B1D45"/>
    <w:rsid w:val="001B20D9"/>
    <w:rsid w:val="001B2364"/>
    <w:rsid w:val="001B33A1"/>
    <w:rsid w:val="001B3A0A"/>
    <w:rsid w:val="001B3E27"/>
    <w:rsid w:val="001B5B65"/>
    <w:rsid w:val="001B655F"/>
    <w:rsid w:val="001B68A0"/>
    <w:rsid w:val="001B68CF"/>
    <w:rsid w:val="001B7B35"/>
    <w:rsid w:val="001B7E2D"/>
    <w:rsid w:val="001C1B0C"/>
    <w:rsid w:val="001C22FC"/>
    <w:rsid w:val="001C4031"/>
    <w:rsid w:val="001C453A"/>
    <w:rsid w:val="001C52C8"/>
    <w:rsid w:val="001C59EB"/>
    <w:rsid w:val="001C5D3E"/>
    <w:rsid w:val="001C5F32"/>
    <w:rsid w:val="001C5FFD"/>
    <w:rsid w:val="001C68E3"/>
    <w:rsid w:val="001C72CE"/>
    <w:rsid w:val="001C72E9"/>
    <w:rsid w:val="001C7FB2"/>
    <w:rsid w:val="001D0050"/>
    <w:rsid w:val="001D0803"/>
    <w:rsid w:val="001D116B"/>
    <w:rsid w:val="001D12D0"/>
    <w:rsid w:val="001D292C"/>
    <w:rsid w:val="001D2EE5"/>
    <w:rsid w:val="001D30A5"/>
    <w:rsid w:val="001D3599"/>
    <w:rsid w:val="001D3C36"/>
    <w:rsid w:val="001D45C5"/>
    <w:rsid w:val="001D4887"/>
    <w:rsid w:val="001D4FF4"/>
    <w:rsid w:val="001D55CB"/>
    <w:rsid w:val="001D5956"/>
    <w:rsid w:val="001D750F"/>
    <w:rsid w:val="001E03A9"/>
    <w:rsid w:val="001E078A"/>
    <w:rsid w:val="001E0E9E"/>
    <w:rsid w:val="001E1A8E"/>
    <w:rsid w:val="001E31C5"/>
    <w:rsid w:val="001E3244"/>
    <w:rsid w:val="001E3349"/>
    <w:rsid w:val="001E3A74"/>
    <w:rsid w:val="001E3CDE"/>
    <w:rsid w:val="001E3F2D"/>
    <w:rsid w:val="001E40A9"/>
    <w:rsid w:val="001E4151"/>
    <w:rsid w:val="001E4231"/>
    <w:rsid w:val="001E4C4C"/>
    <w:rsid w:val="001E5962"/>
    <w:rsid w:val="001E5976"/>
    <w:rsid w:val="001E5BA3"/>
    <w:rsid w:val="001E6B69"/>
    <w:rsid w:val="001E7AC5"/>
    <w:rsid w:val="001F1C66"/>
    <w:rsid w:val="001F3928"/>
    <w:rsid w:val="001F3990"/>
    <w:rsid w:val="001F40FC"/>
    <w:rsid w:val="001F488F"/>
    <w:rsid w:val="001F7444"/>
    <w:rsid w:val="001F7FDA"/>
    <w:rsid w:val="002002EE"/>
    <w:rsid w:val="002006BA"/>
    <w:rsid w:val="002026A3"/>
    <w:rsid w:val="00204A0D"/>
    <w:rsid w:val="00204BB7"/>
    <w:rsid w:val="0020524E"/>
    <w:rsid w:val="00205CBC"/>
    <w:rsid w:val="00207087"/>
    <w:rsid w:val="0021018F"/>
    <w:rsid w:val="0021068C"/>
    <w:rsid w:val="00210913"/>
    <w:rsid w:val="00210DBB"/>
    <w:rsid w:val="00211368"/>
    <w:rsid w:val="00211A3B"/>
    <w:rsid w:val="00211A8E"/>
    <w:rsid w:val="002126CB"/>
    <w:rsid w:val="00213245"/>
    <w:rsid w:val="0021329E"/>
    <w:rsid w:val="0021343E"/>
    <w:rsid w:val="002139A2"/>
    <w:rsid w:val="00214125"/>
    <w:rsid w:val="00214290"/>
    <w:rsid w:val="002143F9"/>
    <w:rsid w:val="002144D6"/>
    <w:rsid w:val="002146ED"/>
    <w:rsid w:val="0021594C"/>
    <w:rsid w:val="00215AE8"/>
    <w:rsid w:val="00216E2C"/>
    <w:rsid w:val="00217911"/>
    <w:rsid w:val="00221DB4"/>
    <w:rsid w:val="002222A6"/>
    <w:rsid w:val="002237BA"/>
    <w:rsid w:val="00223D04"/>
    <w:rsid w:val="00223E4F"/>
    <w:rsid w:val="00223E76"/>
    <w:rsid w:val="0022496D"/>
    <w:rsid w:val="0022649D"/>
    <w:rsid w:val="002267F5"/>
    <w:rsid w:val="00226F50"/>
    <w:rsid w:val="0023053F"/>
    <w:rsid w:val="002305F8"/>
    <w:rsid w:val="0023079D"/>
    <w:rsid w:val="00230BB8"/>
    <w:rsid w:val="00231C59"/>
    <w:rsid w:val="002324B8"/>
    <w:rsid w:val="00232924"/>
    <w:rsid w:val="002335F2"/>
    <w:rsid w:val="00233A92"/>
    <w:rsid w:val="00233D2D"/>
    <w:rsid w:val="00234369"/>
    <w:rsid w:val="0023477D"/>
    <w:rsid w:val="00234D9E"/>
    <w:rsid w:val="00237980"/>
    <w:rsid w:val="00237A71"/>
    <w:rsid w:val="00240D48"/>
    <w:rsid w:val="00240F3F"/>
    <w:rsid w:val="00241262"/>
    <w:rsid w:val="00242176"/>
    <w:rsid w:val="00244285"/>
    <w:rsid w:val="002446EA"/>
    <w:rsid w:val="00244E35"/>
    <w:rsid w:val="00245A57"/>
    <w:rsid w:val="00245F94"/>
    <w:rsid w:val="002477FB"/>
    <w:rsid w:val="00247B71"/>
    <w:rsid w:val="00247F22"/>
    <w:rsid w:val="00250659"/>
    <w:rsid w:val="002507F5"/>
    <w:rsid w:val="002522B3"/>
    <w:rsid w:val="00252450"/>
    <w:rsid w:val="002530FA"/>
    <w:rsid w:val="00253459"/>
    <w:rsid w:val="0025374C"/>
    <w:rsid w:val="002539CF"/>
    <w:rsid w:val="00253E7C"/>
    <w:rsid w:val="002546A7"/>
    <w:rsid w:val="00254F90"/>
    <w:rsid w:val="00255F7E"/>
    <w:rsid w:val="00256699"/>
    <w:rsid w:val="00256AE0"/>
    <w:rsid w:val="00256C91"/>
    <w:rsid w:val="0025752D"/>
    <w:rsid w:val="002577CA"/>
    <w:rsid w:val="002605A8"/>
    <w:rsid w:val="002620DB"/>
    <w:rsid w:val="002637A7"/>
    <w:rsid w:val="002639A1"/>
    <w:rsid w:val="00263B22"/>
    <w:rsid w:val="00263D4D"/>
    <w:rsid w:val="0026510D"/>
    <w:rsid w:val="0026531E"/>
    <w:rsid w:val="00266905"/>
    <w:rsid w:val="00266D0E"/>
    <w:rsid w:val="00270283"/>
    <w:rsid w:val="00270BDF"/>
    <w:rsid w:val="00270EA6"/>
    <w:rsid w:val="00271185"/>
    <w:rsid w:val="00271A85"/>
    <w:rsid w:val="002728D4"/>
    <w:rsid w:val="002750A7"/>
    <w:rsid w:val="002754D5"/>
    <w:rsid w:val="00276243"/>
    <w:rsid w:val="0027665D"/>
    <w:rsid w:val="0027720B"/>
    <w:rsid w:val="0027752C"/>
    <w:rsid w:val="00277740"/>
    <w:rsid w:val="002778B4"/>
    <w:rsid w:val="00280356"/>
    <w:rsid w:val="0028108B"/>
    <w:rsid w:val="002819B1"/>
    <w:rsid w:val="00281BF7"/>
    <w:rsid w:val="00283349"/>
    <w:rsid w:val="00283A12"/>
    <w:rsid w:val="00283CB9"/>
    <w:rsid w:val="002842EC"/>
    <w:rsid w:val="00284D03"/>
    <w:rsid w:val="00284DA9"/>
    <w:rsid w:val="002854A6"/>
    <w:rsid w:val="00285E81"/>
    <w:rsid w:val="00286701"/>
    <w:rsid w:val="00287AAB"/>
    <w:rsid w:val="00290E86"/>
    <w:rsid w:val="00291805"/>
    <w:rsid w:val="00292679"/>
    <w:rsid w:val="0029309D"/>
    <w:rsid w:val="00293946"/>
    <w:rsid w:val="00295958"/>
    <w:rsid w:val="00296492"/>
    <w:rsid w:val="00296AF2"/>
    <w:rsid w:val="00297D66"/>
    <w:rsid w:val="002A111C"/>
    <w:rsid w:val="002A123C"/>
    <w:rsid w:val="002A13E8"/>
    <w:rsid w:val="002A1FC6"/>
    <w:rsid w:val="002A2265"/>
    <w:rsid w:val="002A2520"/>
    <w:rsid w:val="002A3101"/>
    <w:rsid w:val="002A35D8"/>
    <w:rsid w:val="002A3EF6"/>
    <w:rsid w:val="002A537C"/>
    <w:rsid w:val="002A628A"/>
    <w:rsid w:val="002A6921"/>
    <w:rsid w:val="002A73F4"/>
    <w:rsid w:val="002A7B9D"/>
    <w:rsid w:val="002B03C3"/>
    <w:rsid w:val="002B0A10"/>
    <w:rsid w:val="002B1989"/>
    <w:rsid w:val="002B27CE"/>
    <w:rsid w:val="002B3D4E"/>
    <w:rsid w:val="002B3E4F"/>
    <w:rsid w:val="002B63F1"/>
    <w:rsid w:val="002B69D3"/>
    <w:rsid w:val="002B7149"/>
    <w:rsid w:val="002B7E96"/>
    <w:rsid w:val="002C0DF0"/>
    <w:rsid w:val="002C1146"/>
    <w:rsid w:val="002C1E85"/>
    <w:rsid w:val="002C2498"/>
    <w:rsid w:val="002C2B06"/>
    <w:rsid w:val="002C362B"/>
    <w:rsid w:val="002C3A38"/>
    <w:rsid w:val="002C3A3C"/>
    <w:rsid w:val="002C4B16"/>
    <w:rsid w:val="002C609D"/>
    <w:rsid w:val="002C6462"/>
    <w:rsid w:val="002C7A72"/>
    <w:rsid w:val="002D12D1"/>
    <w:rsid w:val="002D1944"/>
    <w:rsid w:val="002D1EF5"/>
    <w:rsid w:val="002D1F08"/>
    <w:rsid w:val="002D2F28"/>
    <w:rsid w:val="002D2F35"/>
    <w:rsid w:val="002D38FC"/>
    <w:rsid w:val="002D485D"/>
    <w:rsid w:val="002D4939"/>
    <w:rsid w:val="002D4F0B"/>
    <w:rsid w:val="002D53BD"/>
    <w:rsid w:val="002E003A"/>
    <w:rsid w:val="002E01CB"/>
    <w:rsid w:val="002E0201"/>
    <w:rsid w:val="002E02C5"/>
    <w:rsid w:val="002E101D"/>
    <w:rsid w:val="002E17F2"/>
    <w:rsid w:val="002E18F1"/>
    <w:rsid w:val="002E27EE"/>
    <w:rsid w:val="002E2836"/>
    <w:rsid w:val="002E30BF"/>
    <w:rsid w:val="002E4230"/>
    <w:rsid w:val="002E5FA3"/>
    <w:rsid w:val="002E62E1"/>
    <w:rsid w:val="002E70A8"/>
    <w:rsid w:val="002E71AD"/>
    <w:rsid w:val="002E7313"/>
    <w:rsid w:val="002F00FA"/>
    <w:rsid w:val="002F091E"/>
    <w:rsid w:val="002F1E80"/>
    <w:rsid w:val="002F1E9E"/>
    <w:rsid w:val="002F20EE"/>
    <w:rsid w:val="002F2454"/>
    <w:rsid w:val="002F2BE8"/>
    <w:rsid w:val="002F3601"/>
    <w:rsid w:val="002F404A"/>
    <w:rsid w:val="002F43CC"/>
    <w:rsid w:val="002F4D3E"/>
    <w:rsid w:val="002F6B52"/>
    <w:rsid w:val="002F6F72"/>
    <w:rsid w:val="00300840"/>
    <w:rsid w:val="00301609"/>
    <w:rsid w:val="00301F5D"/>
    <w:rsid w:val="00302731"/>
    <w:rsid w:val="0030398F"/>
    <w:rsid w:val="00303DDA"/>
    <w:rsid w:val="00304C60"/>
    <w:rsid w:val="00305285"/>
    <w:rsid w:val="00305A7A"/>
    <w:rsid w:val="00305C2F"/>
    <w:rsid w:val="00306367"/>
    <w:rsid w:val="00306630"/>
    <w:rsid w:val="0030711E"/>
    <w:rsid w:val="003071CB"/>
    <w:rsid w:val="00307DDF"/>
    <w:rsid w:val="00307FF0"/>
    <w:rsid w:val="00310FA2"/>
    <w:rsid w:val="00312688"/>
    <w:rsid w:val="00312BD9"/>
    <w:rsid w:val="00312ECB"/>
    <w:rsid w:val="00313E64"/>
    <w:rsid w:val="0031447D"/>
    <w:rsid w:val="00314F33"/>
    <w:rsid w:val="00315F75"/>
    <w:rsid w:val="00316150"/>
    <w:rsid w:val="00316DA2"/>
    <w:rsid w:val="00316F58"/>
    <w:rsid w:val="0031720C"/>
    <w:rsid w:val="00320188"/>
    <w:rsid w:val="00321A5C"/>
    <w:rsid w:val="00321AF4"/>
    <w:rsid w:val="00321D04"/>
    <w:rsid w:val="00322646"/>
    <w:rsid w:val="0032265E"/>
    <w:rsid w:val="00323965"/>
    <w:rsid w:val="00324BED"/>
    <w:rsid w:val="00325119"/>
    <w:rsid w:val="00326B2D"/>
    <w:rsid w:val="003274F4"/>
    <w:rsid w:val="003306F5"/>
    <w:rsid w:val="0033155E"/>
    <w:rsid w:val="00331E92"/>
    <w:rsid w:val="003320F0"/>
    <w:rsid w:val="003329B8"/>
    <w:rsid w:val="00332C8A"/>
    <w:rsid w:val="00333007"/>
    <w:rsid w:val="0033488C"/>
    <w:rsid w:val="00334D58"/>
    <w:rsid w:val="00334F72"/>
    <w:rsid w:val="00336A32"/>
    <w:rsid w:val="00336B77"/>
    <w:rsid w:val="00337271"/>
    <w:rsid w:val="003376F5"/>
    <w:rsid w:val="00337886"/>
    <w:rsid w:val="00337C6F"/>
    <w:rsid w:val="00340B07"/>
    <w:rsid w:val="00340FE2"/>
    <w:rsid w:val="00342188"/>
    <w:rsid w:val="00342498"/>
    <w:rsid w:val="00343A62"/>
    <w:rsid w:val="00343F4F"/>
    <w:rsid w:val="00344F29"/>
    <w:rsid w:val="003457F4"/>
    <w:rsid w:val="003464DA"/>
    <w:rsid w:val="00346D6D"/>
    <w:rsid w:val="003470D5"/>
    <w:rsid w:val="00347AC7"/>
    <w:rsid w:val="00347FA9"/>
    <w:rsid w:val="00350F95"/>
    <w:rsid w:val="00351882"/>
    <w:rsid w:val="00351E45"/>
    <w:rsid w:val="0035241A"/>
    <w:rsid w:val="00353418"/>
    <w:rsid w:val="003544E8"/>
    <w:rsid w:val="0035690E"/>
    <w:rsid w:val="00356CD0"/>
    <w:rsid w:val="00356EEB"/>
    <w:rsid w:val="0035766D"/>
    <w:rsid w:val="003577B3"/>
    <w:rsid w:val="0035797F"/>
    <w:rsid w:val="00360254"/>
    <w:rsid w:val="0036173B"/>
    <w:rsid w:val="0036428D"/>
    <w:rsid w:val="00364F7F"/>
    <w:rsid w:val="003653D4"/>
    <w:rsid w:val="003665C8"/>
    <w:rsid w:val="00366BB0"/>
    <w:rsid w:val="00366D3D"/>
    <w:rsid w:val="00367A49"/>
    <w:rsid w:val="00367B19"/>
    <w:rsid w:val="00370754"/>
    <w:rsid w:val="00371CBE"/>
    <w:rsid w:val="003722D2"/>
    <w:rsid w:val="00372B6D"/>
    <w:rsid w:val="00373279"/>
    <w:rsid w:val="00373D81"/>
    <w:rsid w:val="003742D4"/>
    <w:rsid w:val="003745E7"/>
    <w:rsid w:val="00374846"/>
    <w:rsid w:val="00377390"/>
    <w:rsid w:val="00377DEC"/>
    <w:rsid w:val="003808FD"/>
    <w:rsid w:val="00380E01"/>
    <w:rsid w:val="00382307"/>
    <w:rsid w:val="003827FF"/>
    <w:rsid w:val="00382C88"/>
    <w:rsid w:val="00382F7E"/>
    <w:rsid w:val="003831B2"/>
    <w:rsid w:val="00383A86"/>
    <w:rsid w:val="00383E2C"/>
    <w:rsid w:val="00385440"/>
    <w:rsid w:val="003860C6"/>
    <w:rsid w:val="00386C09"/>
    <w:rsid w:val="00386C72"/>
    <w:rsid w:val="0039057E"/>
    <w:rsid w:val="00390647"/>
    <w:rsid w:val="003910AD"/>
    <w:rsid w:val="00391561"/>
    <w:rsid w:val="0039240D"/>
    <w:rsid w:val="0039246C"/>
    <w:rsid w:val="0039321A"/>
    <w:rsid w:val="003935FA"/>
    <w:rsid w:val="00394385"/>
    <w:rsid w:val="0039469B"/>
    <w:rsid w:val="00394EF4"/>
    <w:rsid w:val="00394F2E"/>
    <w:rsid w:val="0039592B"/>
    <w:rsid w:val="00395BC6"/>
    <w:rsid w:val="00396E04"/>
    <w:rsid w:val="003976C5"/>
    <w:rsid w:val="003978F8"/>
    <w:rsid w:val="003A00DF"/>
    <w:rsid w:val="003A041D"/>
    <w:rsid w:val="003A125E"/>
    <w:rsid w:val="003A1372"/>
    <w:rsid w:val="003A1399"/>
    <w:rsid w:val="003A18BA"/>
    <w:rsid w:val="003A1EA9"/>
    <w:rsid w:val="003A2254"/>
    <w:rsid w:val="003A380F"/>
    <w:rsid w:val="003A3DEC"/>
    <w:rsid w:val="003A4919"/>
    <w:rsid w:val="003A5887"/>
    <w:rsid w:val="003A5A8F"/>
    <w:rsid w:val="003A6F2D"/>
    <w:rsid w:val="003A7630"/>
    <w:rsid w:val="003A7A83"/>
    <w:rsid w:val="003B06A0"/>
    <w:rsid w:val="003B1A07"/>
    <w:rsid w:val="003B1AFF"/>
    <w:rsid w:val="003B1BB1"/>
    <w:rsid w:val="003B1BE2"/>
    <w:rsid w:val="003B2009"/>
    <w:rsid w:val="003B2684"/>
    <w:rsid w:val="003B2933"/>
    <w:rsid w:val="003B2B3E"/>
    <w:rsid w:val="003B2CF5"/>
    <w:rsid w:val="003B367E"/>
    <w:rsid w:val="003B4600"/>
    <w:rsid w:val="003B485F"/>
    <w:rsid w:val="003B6C19"/>
    <w:rsid w:val="003B7DC8"/>
    <w:rsid w:val="003C08AC"/>
    <w:rsid w:val="003C18C0"/>
    <w:rsid w:val="003C21D8"/>
    <w:rsid w:val="003C2655"/>
    <w:rsid w:val="003C27D1"/>
    <w:rsid w:val="003C2A0B"/>
    <w:rsid w:val="003C3079"/>
    <w:rsid w:val="003C41A1"/>
    <w:rsid w:val="003C45DF"/>
    <w:rsid w:val="003C5413"/>
    <w:rsid w:val="003C6069"/>
    <w:rsid w:val="003C7B89"/>
    <w:rsid w:val="003C7EB9"/>
    <w:rsid w:val="003D03F6"/>
    <w:rsid w:val="003D056B"/>
    <w:rsid w:val="003D0B1A"/>
    <w:rsid w:val="003D1122"/>
    <w:rsid w:val="003D143A"/>
    <w:rsid w:val="003D1801"/>
    <w:rsid w:val="003D18A1"/>
    <w:rsid w:val="003D1D67"/>
    <w:rsid w:val="003D1E59"/>
    <w:rsid w:val="003D2343"/>
    <w:rsid w:val="003D3963"/>
    <w:rsid w:val="003D4EB8"/>
    <w:rsid w:val="003D5CCC"/>
    <w:rsid w:val="003D5F03"/>
    <w:rsid w:val="003D5FD0"/>
    <w:rsid w:val="003D612E"/>
    <w:rsid w:val="003D63B5"/>
    <w:rsid w:val="003D670D"/>
    <w:rsid w:val="003D739F"/>
    <w:rsid w:val="003D7437"/>
    <w:rsid w:val="003D7807"/>
    <w:rsid w:val="003E02BF"/>
    <w:rsid w:val="003E0D4E"/>
    <w:rsid w:val="003E18F7"/>
    <w:rsid w:val="003E21C9"/>
    <w:rsid w:val="003E3711"/>
    <w:rsid w:val="003E4061"/>
    <w:rsid w:val="003E4989"/>
    <w:rsid w:val="003E5A81"/>
    <w:rsid w:val="003E5ABB"/>
    <w:rsid w:val="003E5D24"/>
    <w:rsid w:val="003E6820"/>
    <w:rsid w:val="003E686D"/>
    <w:rsid w:val="003F01D5"/>
    <w:rsid w:val="003F1EED"/>
    <w:rsid w:val="003F2495"/>
    <w:rsid w:val="003F2CB9"/>
    <w:rsid w:val="003F301E"/>
    <w:rsid w:val="003F3E12"/>
    <w:rsid w:val="003F3E76"/>
    <w:rsid w:val="003F46B3"/>
    <w:rsid w:val="003F670F"/>
    <w:rsid w:val="003F6851"/>
    <w:rsid w:val="003F6E5A"/>
    <w:rsid w:val="003F6E84"/>
    <w:rsid w:val="003F73DC"/>
    <w:rsid w:val="00400ADA"/>
    <w:rsid w:val="00401DAF"/>
    <w:rsid w:val="00402024"/>
    <w:rsid w:val="004023FF"/>
    <w:rsid w:val="004026D0"/>
    <w:rsid w:val="00402D63"/>
    <w:rsid w:val="0040428D"/>
    <w:rsid w:val="004042A2"/>
    <w:rsid w:val="00406688"/>
    <w:rsid w:val="00406925"/>
    <w:rsid w:val="00406CA6"/>
    <w:rsid w:val="00407E18"/>
    <w:rsid w:val="00410123"/>
    <w:rsid w:val="004108BF"/>
    <w:rsid w:val="00410A31"/>
    <w:rsid w:val="0041295E"/>
    <w:rsid w:val="004129F2"/>
    <w:rsid w:val="00412B68"/>
    <w:rsid w:val="004131B7"/>
    <w:rsid w:val="00413610"/>
    <w:rsid w:val="00413E12"/>
    <w:rsid w:val="004146BE"/>
    <w:rsid w:val="004163EC"/>
    <w:rsid w:val="00416B20"/>
    <w:rsid w:val="00420E24"/>
    <w:rsid w:val="00425508"/>
    <w:rsid w:val="00425BAE"/>
    <w:rsid w:val="00425E8E"/>
    <w:rsid w:val="00426444"/>
    <w:rsid w:val="00426DFA"/>
    <w:rsid w:val="00427602"/>
    <w:rsid w:val="004277E9"/>
    <w:rsid w:val="004278DB"/>
    <w:rsid w:val="00427BEC"/>
    <w:rsid w:val="00430370"/>
    <w:rsid w:val="00430D98"/>
    <w:rsid w:val="004314C5"/>
    <w:rsid w:val="00431872"/>
    <w:rsid w:val="00431DA5"/>
    <w:rsid w:val="0043259D"/>
    <w:rsid w:val="00432701"/>
    <w:rsid w:val="00432800"/>
    <w:rsid w:val="00432EA0"/>
    <w:rsid w:val="004332DD"/>
    <w:rsid w:val="004333B3"/>
    <w:rsid w:val="00434A04"/>
    <w:rsid w:val="00435325"/>
    <w:rsid w:val="004355CD"/>
    <w:rsid w:val="004356FC"/>
    <w:rsid w:val="00436115"/>
    <w:rsid w:val="00436266"/>
    <w:rsid w:val="004368F5"/>
    <w:rsid w:val="00436E04"/>
    <w:rsid w:val="00437737"/>
    <w:rsid w:val="00437740"/>
    <w:rsid w:val="00437CAF"/>
    <w:rsid w:val="004400E4"/>
    <w:rsid w:val="004410E9"/>
    <w:rsid w:val="004415C2"/>
    <w:rsid w:val="004427E0"/>
    <w:rsid w:val="00443FE1"/>
    <w:rsid w:val="00444176"/>
    <w:rsid w:val="004460D5"/>
    <w:rsid w:val="004463FC"/>
    <w:rsid w:val="0044689C"/>
    <w:rsid w:val="00447204"/>
    <w:rsid w:val="0045029F"/>
    <w:rsid w:val="00450717"/>
    <w:rsid w:val="00451722"/>
    <w:rsid w:val="00451C93"/>
    <w:rsid w:val="00452905"/>
    <w:rsid w:val="00452CC5"/>
    <w:rsid w:val="00453059"/>
    <w:rsid w:val="00453BEE"/>
    <w:rsid w:val="00453ED0"/>
    <w:rsid w:val="00454139"/>
    <w:rsid w:val="004551A8"/>
    <w:rsid w:val="00455241"/>
    <w:rsid w:val="00455FBD"/>
    <w:rsid w:val="0045676D"/>
    <w:rsid w:val="00456BDA"/>
    <w:rsid w:val="0045739F"/>
    <w:rsid w:val="00457659"/>
    <w:rsid w:val="004578BD"/>
    <w:rsid w:val="00457D78"/>
    <w:rsid w:val="00460D7C"/>
    <w:rsid w:val="00461B6A"/>
    <w:rsid w:val="0046214B"/>
    <w:rsid w:val="004624CE"/>
    <w:rsid w:val="0046360E"/>
    <w:rsid w:val="0046373D"/>
    <w:rsid w:val="004640C2"/>
    <w:rsid w:val="00465BBD"/>
    <w:rsid w:val="00465CEA"/>
    <w:rsid w:val="00466282"/>
    <w:rsid w:val="00467A89"/>
    <w:rsid w:val="0047069A"/>
    <w:rsid w:val="0047176D"/>
    <w:rsid w:val="00471FFC"/>
    <w:rsid w:val="00472951"/>
    <w:rsid w:val="00472FF0"/>
    <w:rsid w:val="00475751"/>
    <w:rsid w:val="00475E3D"/>
    <w:rsid w:val="0047692D"/>
    <w:rsid w:val="0047758E"/>
    <w:rsid w:val="00477CD4"/>
    <w:rsid w:val="004806E1"/>
    <w:rsid w:val="004813A4"/>
    <w:rsid w:val="00481480"/>
    <w:rsid w:val="00481B7C"/>
    <w:rsid w:val="004827EA"/>
    <w:rsid w:val="00482F2F"/>
    <w:rsid w:val="004834A5"/>
    <w:rsid w:val="0048360A"/>
    <w:rsid w:val="004865E6"/>
    <w:rsid w:val="00486B68"/>
    <w:rsid w:val="00486E65"/>
    <w:rsid w:val="00487E94"/>
    <w:rsid w:val="00490EDB"/>
    <w:rsid w:val="004912B6"/>
    <w:rsid w:val="004914DC"/>
    <w:rsid w:val="004922E9"/>
    <w:rsid w:val="00492DD5"/>
    <w:rsid w:val="00493CA7"/>
    <w:rsid w:val="00494073"/>
    <w:rsid w:val="00494717"/>
    <w:rsid w:val="00495FCC"/>
    <w:rsid w:val="00496EAC"/>
    <w:rsid w:val="00497122"/>
    <w:rsid w:val="004974E5"/>
    <w:rsid w:val="004A09D2"/>
    <w:rsid w:val="004A10B0"/>
    <w:rsid w:val="004A1C7E"/>
    <w:rsid w:val="004A2A3C"/>
    <w:rsid w:val="004A2B67"/>
    <w:rsid w:val="004A34C6"/>
    <w:rsid w:val="004A4DEA"/>
    <w:rsid w:val="004A6AA2"/>
    <w:rsid w:val="004A6B61"/>
    <w:rsid w:val="004A78F2"/>
    <w:rsid w:val="004B089B"/>
    <w:rsid w:val="004B14BD"/>
    <w:rsid w:val="004B2AEB"/>
    <w:rsid w:val="004B2CDC"/>
    <w:rsid w:val="004B3642"/>
    <w:rsid w:val="004B4310"/>
    <w:rsid w:val="004B449B"/>
    <w:rsid w:val="004B5478"/>
    <w:rsid w:val="004B5647"/>
    <w:rsid w:val="004B60E7"/>
    <w:rsid w:val="004B62B7"/>
    <w:rsid w:val="004B6652"/>
    <w:rsid w:val="004B66A8"/>
    <w:rsid w:val="004B7958"/>
    <w:rsid w:val="004B7CB3"/>
    <w:rsid w:val="004C0CEB"/>
    <w:rsid w:val="004C1068"/>
    <w:rsid w:val="004C225F"/>
    <w:rsid w:val="004C2D4F"/>
    <w:rsid w:val="004C357E"/>
    <w:rsid w:val="004C45B5"/>
    <w:rsid w:val="004C4792"/>
    <w:rsid w:val="004C5379"/>
    <w:rsid w:val="004C5563"/>
    <w:rsid w:val="004C6455"/>
    <w:rsid w:val="004D0974"/>
    <w:rsid w:val="004D0BD8"/>
    <w:rsid w:val="004D1342"/>
    <w:rsid w:val="004D1368"/>
    <w:rsid w:val="004D138C"/>
    <w:rsid w:val="004D15E6"/>
    <w:rsid w:val="004D1631"/>
    <w:rsid w:val="004D166E"/>
    <w:rsid w:val="004D2383"/>
    <w:rsid w:val="004D2983"/>
    <w:rsid w:val="004D39C1"/>
    <w:rsid w:val="004D4C0A"/>
    <w:rsid w:val="004D5156"/>
    <w:rsid w:val="004D5237"/>
    <w:rsid w:val="004D546D"/>
    <w:rsid w:val="004D5E44"/>
    <w:rsid w:val="004D757D"/>
    <w:rsid w:val="004D78A8"/>
    <w:rsid w:val="004E08AF"/>
    <w:rsid w:val="004E11B5"/>
    <w:rsid w:val="004E140A"/>
    <w:rsid w:val="004E1B31"/>
    <w:rsid w:val="004E2CEF"/>
    <w:rsid w:val="004E332F"/>
    <w:rsid w:val="004E3D2C"/>
    <w:rsid w:val="004E552C"/>
    <w:rsid w:val="004E6927"/>
    <w:rsid w:val="004F0190"/>
    <w:rsid w:val="004F1758"/>
    <w:rsid w:val="004F1AB8"/>
    <w:rsid w:val="004F1B27"/>
    <w:rsid w:val="004F34E5"/>
    <w:rsid w:val="004F5901"/>
    <w:rsid w:val="004F5E5A"/>
    <w:rsid w:val="004F7B9A"/>
    <w:rsid w:val="005006EE"/>
    <w:rsid w:val="00500E74"/>
    <w:rsid w:val="0050147B"/>
    <w:rsid w:val="0050183D"/>
    <w:rsid w:val="00501B5D"/>
    <w:rsid w:val="00501C53"/>
    <w:rsid w:val="00501FA7"/>
    <w:rsid w:val="00501FE9"/>
    <w:rsid w:val="0050431C"/>
    <w:rsid w:val="00507B1D"/>
    <w:rsid w:val="00507E25"/>
    <w:rsid w:val="00507F6D"/>
    <w:rsid w:val="005102F6"/>
    <w:rsid w:val="0051074C"/>
    <w:rsid w:val="00510957"/>
    <w:rsid w:val="005109B0"/>
    <w:rsid w:val="005120A4"/>
    <w:rsid w:val="0051216E"/>
    <w:rsid w:val="0051367B"/>
    <w:rsid w:val="0051403A"/>
    <w:rsid w:val="0051403D"/>
    <w:rsid w:val="005149E9"/>
    <w:rsid w:val="0051567B"/>
    <w:rsid w:val="00517976"/>
    <w:rsid w:val="00517DD7"/>
    <w:rsid w:val="00520F9B"/>
    <w:rsid w:val="00521170"/>
    <w:rsid w:val="00521C6A"/>
    <w:rsid w:val="00523113"/>
    <w:rsid w:val="0052445C"/>
    <w:rsid w:val="005246B1"/>
    <w:rsid w:val="00526022"/>
    <w:rsid w:val="00527AEF"/>
    <w:rsid w:val="00527AFC"/>
    <w:rsid w:val="00527D5D"/>
    <w:rsid w:val="0053022F"/>
    <w:rsid w:val="005302E0"/>
    <w:rsid w:val="00530564"/>
    <w:rsid w:val="00531441"/>
    <w:rsid w:val="00531EE5"/>
    <w:rsid w:val="00531F3D"/>
    <w:rsid w:val="005334C3"/>
    <w:rsid w:val="00534F82"/>
    <w:rsid w:val="00535C5D"/>
    <w:rsid w:val="00535F42"/>
    <w:rsid w:val="00535F76"/>
    <w:rsid w:val="005362D4"/>
    <w:rsid w:val="005365FF"/>
    <w:rsid w:val="005367E0"/>
    <w:rsid w:val="00536A70"/>
    <w:rsid w:val="00536FA2"/>
    <w:rsid w:val="005377FF"/>
    <w:rsid w:val="00541267"/>
    <w:rsid w:val="0054149A"/>
    <w:rsid w:val="00541B1A"/>
    <w:rsid w:val="00543DA6"/>
    <w:rsid w:val="00545805"/>
    <w:rsid w:val="00545DE3"/>
    <w:rsid w:val="00546267"/>
    <w:rsid w:val="00546B92"/>
    <w:rsid w:val="00546F49"/>
    <w:rsid w:val="00547C43"/>
    <w:rsid w:val="00547FE9"/>
    <w:rsid w:val="005504D9"/>
    <w:rsid w:val="00550939"/>
    <w:rsid w:val="00552404"/>
    <w:rsid w:val="00552479"/>
    <w:rsid w:val="00553239"/>
    <w:rsid w:val="00553369"/>
    <w:rsid w:val="00553D9A"/>
    <w:rsid w:val="005557EC"/>
    <w:rsid w:val="005604EE"/>
    <w:rsid w:val="005607C4"/>
    <w:rsid w:val="005615D0"/>
    <w:rsid w:val="00561D76"/>
    <w:rsid w:val="0056228A"/>
    <w:rsid w:val="00562823"/>
    <w:rsid w:val="005628C8"/>
    <w:rsid w:val="00562C6D"/>
    <w:rsid w:val="00563000"/>
    <w:rsid w:val="0056448A"/>
    <w:rsid w:val="00566204"/>
    <w:rsid w:val="005668F8"/>
    <w:rsid w:val="00566E67"/>
    <w:rsid w:val="0056750C"/>
    <w:rsid w:val="0056770B"/>
    <w:rsid w:val="00567996"/>
    <w:rsid w:val="00570495"/>
    <w:rsid w:val="0057148C"/>
    <w:rsid w:val="005717F9"/>
    <w:rsid w:val="005731BF"/>
    <w:rsid w:val="00573CB4"/>
    <w:rsid w:val="00574CAF"/>
    <w:rsid w:val="005757E3"/>
    <w:rsid w:val="005764AE"/>
    <w:rsid w:val="00577333"/>
    <w:rsid w:val="0057778D"/>
    <w:rsid w:val="00577A79"/>
    <w:rsid w:val="00580C9D"/>
    <w:rsid w:val="00580FD5"/>
    <w:rsid w:val="00581443"/>
    <w:rsid w:val="00581DD4"/>
    <w:rsid w:val="005827C1"/>
    <w:rsid w:val="005828F8"/>
    <w:rsid w:val="00582F7D"/>
    <w:rsid w:val="0058460F"/>
    <w:rsid w:val="00584DBD"/>
    <w:rsid w:val="005855C0"/>
    <w:rsid w:val="00585812"/>
    <w:rsid w:val="00585F7E"/>
    <w:rsid w:val="00586928"/>
    <w:rsid w:val="00586D8C"/>
    <w:rsid w:val="00587AF2"/>
    <w:rsid w:val="00590905"/>
    <w:rsid w:val="00591657"/>
    <w:rsid w:val="005923E7"/>
    <w:rsid w:val="00592C95"/>
    <w:rsid w:val="00592F6C"/>
    <w:rsid w:val="00593A75"/>
    <w:rsid w:val="00593F4A"/>
    <w:rsid w:val="0059464C"/>
    <w:rsid w:val="00594FF4"/>
    <w:rsid w:val="00595989"/>
    <w:rsid w:val="00595C13"/>
    <w:rsid w:val="005973FC"/>
    <w:rsid w:val="005975F6"/>
    <w:rsid w:val="00597ED3"/>
    <w:rsid w:val="005A0B29"/>
    <w:rsid w:val="005A10DC"/>
    <w:rsid w:val="005A114D"/>
    <w:rsid w:val="005A1A5F"/>
    <w:rsid w:val="005A2B16"/>
    <w:rsid w:val="005A4151"/>
    <w:rsid w:val="005A4813"/>
    <w:rsid w:val="005A4891"/>
    <w:rsid w:val="005A4B07"/>
    <w:rsid w:val="005A4FCE"/>
    <w:rsid w:val="005A55EC"/>
    <w:rsid w:val="005A67AC"/>
    <w:rsid w:val="005A69DE"/>
    <w:rsid w:val="005A6EDA"/>
    <w:rsid w:val="005A7084"/>
    <w:rsid w:val="005B0B7B"/>
    <w:rsid w:val="005B0BE8"/>
    <w:rsid w:val="005B105D"/>
    <w:rsid w:val="005B1E2F"/>
    <w:rsid w:val="005B4008"/>
    <w:rsid w:val="005B436B"/>
    <w:rsid w:val="005B4661"/>
    <w:rsid w:val="005B49F6"/>
    <w:rsid w:val="005B4DD8"/>
    <w:rsid w:val="005B6FA3"/>
    <w:rsid w:val="005B740F"/>
    <w:rsid w:val="005B7B22"/>
    <w:rsid w:val="005C0161"/>
    <w:rsid w:val="005C0D53"/>
    <w:rsid w:val="005C10D8"/>
    <w:rsid w:val="005C22E0"/>
    <w:rsid w:val="005C39CC"/>
    <w:rsid w:val="005C39CE"/>
    <w:rsid w:val="005C4207"/>
    <w:rsid w:val="005C4A29"/>
    <w:rsid w:val="005C5354"/>
    <w:rsid w:val="005C57B2"/>
    <w:rsid w:val="005C651E"/>
    <w:rsid w:val="005C6575"/>
    <w:rsid w:val="005C7ABA"/>
    <w:rsid w:val="005D0992"/>
    <w:rsid w:val="005D151B"/>
    <w:rsid w:val="005D1BCD"/>
    <w:rsid w:val="005D210A"/>
    <w:rsid w:val="005D27C8"/>
    <w:rsid w:val="005D2EB0"/>
    <w:rsid w:val="005D7286"/>
    <w:rsid w:val="005D73D2"/>
    <w:rsid w:val="005E06C0"/>
    <w:rsid w:val="005E165D"/>
    <w:rsid w:val="005E16C9"/>
    <w:rsid w:val="005E1B8F"/>
    <w:rsid w:val="005E1CCC"/>
    <w:rsid w:val="005E2158"/>
    <w:rsid w:val="005E3EAF"/>
    <w:rsid w:val="005E43EB"/>
    <w:rsid w:val="005E7F80"/>
    <w:rsid w:val="005F1A98"/>
    <w:rsid w:val="005F1F76"/>
    <w:rsid w:val="005F21BA"/>
    <w:rsid w:val="005F26D9"/>
    <w:rsid w:val="005F3347"/>
    <w:rsid w:val="005F3B07"/>
    <w:rsid w:val="005F3F37"/>
    <w:rsid w:val="005F4285"/>
    <w:rsid w:val="005F4617"/>
    <w:rsid w:val="005F4627"/>
    <w:rsid w:val="005F4CEF"/>
    <w:rsid w:val="005F526A"/>
    <w:rsid w:val="005F64A8"/>
    <w:rsid w:val="005F6D10"/>
    <w:rsid w:val="005F74A1"/>
    <w:rsid w:val="005F7E95"/>
    <w:rsid w:val="006007A6"/>
    <w:rsid w:val="00600A76"/>
    <w:rsid w:val="00600B79"/>
    <w:rsid w:val="00601496"/>
    <w:rsid w:val="00601777"/>
    <w:rsid w:val="00604B2E"/>
    <w:rsid w:val="00604DDC"/>
    <w:rsid w:val="006051B7"/>
    <w:rsid w:val="00605342"/>
    <w:rsid w:val="00605529"/>
    <w:rsid w:val="0060587F"/>
    <w:rsid w:val="006058FB"/>
    <w:rsid w:val="0060608D"/>
    <w:rsid w:val="00606A39"/>
    <w:rsid w:val="00607C8F"/>
    <w:rsid w:val="00607EE7"/>
    <w:rsid w:val="00610A43"/>
    <w:rsid w:val="00611346"/>
    <w:rsid w:val="006115CA"/>
    <w:rsid w:val="00611D9E"/>
    <w:rsid w:val="00611E5C"/>
    <w:rsid w:val="006129BA"/>
    <w:rsid w:val="00612EDE"/>
    <w:rsid w:val="006136C1"/>
    <w:rsid w:val="00613B2E"/>
    <w:rsid w:val="00613D20"/>
    <w:rsid w:val="00613E08"/>
    <w:rsid w:val="0061451E"/>
    <w:rsid w:val="006145C2"/>
    <w:rsid w:val="00614DCC"/>
    <w:rsid w:val="00615399"/>
    <w:rsid w:val="00617ADC"/>
    <w:rsid w:val="006215BA"/>
    <w:rsid w:val="00621829"/>
    <w:rsid w:val="00621DCA"/>
    <w:rsid w:val="006221C9"/>
    <w:rsid w:val="0062284A"/>
    <w:rsid w:val="00622C9B"/>
    <w:rsid w:val="00623233"/>
    <w:rsid w:val="0062349B"/>
    <w:rsid w:val="006239D6"/>
    <w:rsid w:val="006249D1"/>
    <w:rsid w:val="00624C13"/>
    <w:rsid w:val="00626158"/>
    <w:rsid w:val="006266DF"/>
    <w:rsid w:val="00626D97"/>
    <w:rsid w:val="006278A0"/>
    <w:rsid w:val="0063050E"/>
    <w:rsid w:val="00632BF9"/>
    <w:rsid w:val="006336BF"/>
    <w:rsid w:val="0063482E"/>
    <w:rsid w:val="006348F9"/>
    <w:rsid w:val="00634F19"/>
    <w:rsid w:val="0063528A"/>
    <w:rsid w:val="00637DF9"/>
    <w:rsid w:val="006405F4"/>
    <w:rsid w:val="00640791"/>
    <w:rsid w:val="00642775"/>
    <w:rsid w:val="00642CCD"/>
    <w:rsid w:val="00642F1D"/>
    <w:rsid w:val="006431B3"/>
    <w:rsid w:val="00643242"/>
    <w:rsid w:val="00643C12"/>
    <w:rsid w:val="006443B3"/>
    <w:rsid w:val="0064470E"/>
    <w:rsid w:val="00644D7F"/>
    <w:rsid w:val="0064674A"/>
    <w:rsid w:val="00646A39"/>
    <w:rsid w:val="00646C77"/>
    <w:rsid w:val="006472FC"/>
    <w:rsid w:val="006478BE"/>
    <w:rsid w:val="006504B9"/>
    <w:rsid w:val="00650D56"/>
    <w:rsid w:val="00652028"/>
    <w:rsid w:val="00652D4D"/>
    <w:rsid w:val="00653DAF"/>
    <w:rsid w:val="00653DCF"/>
    <w:rsid w:val="00655EA4"/>
    <w:rsid w:val="00655FD2"/>
    <w:rsid w:val="00657076"/>
    <w:rsid w:val="006571A4"/>
    <w:rsid w:val="0065760C"/>
    <w:rsid w:val="00657A18"/>
    <w:rsid w:val="00657E86"/>
    <w:rsid w:val="006604F7"/>
    <w:rsid w:val="00660612"/>
    <w:rsid w:val="00660B09"/>
    <w:rsid w:val="00660DEF"/>
    <w:rsid w:val="00661EB4"/>
    <w:rsid w:val="00661FAA"/>
    <w:rsid w:val="00662196"/>
    <w:rsid w:val="00662F15"/>
    <w:rsid w:val="00664000"/>
    <w:rsid w:val="0066401D"/>
    <w:rsid w:val="006648DB"/>
    <w:rsid w:val="00664BB7"/>
    <w:rsid w:val="006656D5"/>
    <w:rsid w:val="006656F7"/>
    <w:rsid w:val="00665749"/>
    <w:rsid w:val="00665989"/>
    <w:rsid w:val="00665BB5"/>
    <w:rsid w:val="00666402"/>
    <w:rsid w:val="00666B62"/>
    <w:rsid w:val="00667B30"/>
    <w:rsid w:val="00667DFC"/>
    <w:rsid w:val="00671955"/>
    <w:rsid w:val="00671BE8"/>
    <w:rsid w:val="0067206C"/>
    <w:rsid w:val="006722DC"/>
    <w:rsid w:val="00672B96"/>
    <w:rsid w:val="00672F3F"/>
    <w:rsid w:val="00673102"/>
    <w:rsid w:val="006734EE"/>
    <w:rsid w:val="00673CEF"/>
    <w:rsid w:val="00674221"/>
    <w:rsid w:val="006742FE"/>
    <w:rsid w:val="00674839"/>
    <w:rsid w:val="006776FF"/>
    <w:rsid w:val="006800E1"/>
    <w:rsid w:val="00682A18"/>
    <w:rsid w:val="00683F56"/>
    <w:rsid w:val="00684138"/>
    <w:rsid w:val="00684373"/>
    <w:rsid w:val="00684503"/>
    <w:rsid w:val="00684788"/>
    <w:rsid w:val="00685BD9"/>
    <w:rsid w:val="00685CA4"/>
    <w:rsid w:val="00686056"/>
    <w:rsid w:val="00686577"/>
    <w:rsid w:val="00687012"/>
    <w:rsid w:val="00687344"/>
    <w:rsid w:val="0069052A"/>
    <w:rsid w:val="00690A03"/>
    <w:rsid w:val="00690FDC"/>
    <w:rsid w:val="00691C9A"/>
    <w:rsid w:val="00692B3C"/>
    <w:rsid w:val="00693D24"/>
    <w:rsid w:val="00693DF0"/>
    <w:rsid w:val="00695E59"/>
    <w:rsid w:val="00695FC3"/>
    <w:rsid w:val="00697029"/>
    <w:rsid w:val="006A0C52"/>
    <w:rsid w:val="006A0E65"/>
    <w:rsid w:val="006A1A2B"/>
    <w:rsid w:val="006A25BF"/>
    <w:rsid w:val="006A2C6B"/>
    <w:rsid w:val="006A383F"/>
    <w:rsid w:val="006A3BA0"/>
    <w:rsid w:val="006A5ABD"/>
    <w:rsid w:val="006A6516"/>
    <w:rsid w:val="006A6985"/>
    <w:rsid w:val="006A728D"/>
    <w:rsid w:val="006A74AC"/>
    <w:rsid w:val="006B273C"/>
    <w:rsid w:val="006B2B21"/>
    <w:rsid w:val="006B2CBF"/>
    <w:rsid w:val="006B3297"/>
    <w:rsid w:val="006B374A"/>
    <w:rsid w:val="006B47E0"/>
    <w:rsid w:val="006B4E38"/>
    <w:rsid w:val="006B4F64"/>
    <w:rsid w:val="006B5677"/>
    <w:rsid w:val="006B6021"/>
    <w:rsid w:val="006B7560"/>
    <w:rsid w:val="006B7574"/>
    <w:rsid w:val="006C03B6"/>
    <w:rsid w:val="006C0ADA"/>
    <w:rsid w:val="006C103A"/>
    <w:rsid w:val="006C1BD6"/>
    <w:rsid w:val="006C1E87"/>
    <w:rsid w:val="006C214C"/>
    <w:rsid w:val="006C30BD"/>
    <w:rsid w:val="006C339D"/>
    <w:rsid w:val="006C46CF"/>
    <w:rsid w:val="006C4D34"/>
    <w:rsid w:val="006C53A6"/>
    <w:rsid w:val="006C5FC3"/>
    <w:rsid w:val="006C6AE5"/>
    <w:rsid w:val="006C781E"/>
    <w:rsid w:val="006C7C81"/>
    <w:rsid w:val="006C7CDB"/>
    <w:rsid w:val="006C7E40"/>
    <w:rsid w:val="006D0327"/>
    <w:rsid w:val="006D0B35"/>
    <w:rsid w:val="006D15C2"/>
    <w:rsid w:val="006D1B00"/>
    <w:rsid w:val="006D2847"/>
    <w:rsid w:val="006D2E2C"/>
    <w:rsid w:val="006D31CA"/>
    <w:rsid w:val="006D33DD"/>
    <w:rsid w:val="006D35B1"/>
    <w:rsid w:val="006D41AE"/>
    <w:rsid w:val="006D459A"/>
    <w:rsid w:val="006D4847"/>
    <w:rsid w:val="006D4C7B"/>
    <w:rsid w:val="006D5628"/>
    <w:rsid w:val="006D664A"/>
    <w:rsid w:val="006D6C6D"/>
    <w:rsid w:val="006D7A2C"/>
    <w:rsid w:val="006D7E5B"/>
    <w:rsid w:val="006E0613"/>
    <w:rsid w:val="006E2D00"/>
    <w:rsid w:val="006E385F"/>
    <w:rsid w:val="006E4C7A"/>
    <w:rsid w:val="006E6117"/>
    <w:rsid w:val="006E62FB"/>
    <w:rsid w:val="006E69CD"/>
    <w:rsid w:val="006E6DC2"/>
    <w:rsid w:val="006F00C5"/>
    <w:rsid w:val="006F017B"/>
    <w:rsid w:val="006F13C6"/>
    <w:rsid w:val="006F1A09"/>
    <w:rsid w:val="006F1E7B"/>
    <w:rsid w:val="006F2EBF"/>
    <w:rsid w:val="006F3400"/>
    <w:rsid w:val="006F3C82"/>
    <w:rsid w:val="006F3D3C"/>
    <w:rsid w:val="006F4C39"/>
    <w:rsid w:val="006F5DA8"/>
    <w:rsid w:val="006F6CFF"/>
    <w:rsid w:val="006F7637"/>
    <w:rsid w:val="006F79FF"/>
    <w:rsid w:val="007006F8"/>
    <w:rsid w:val="00700B34"/>
    <w:rsid w:val="00700E13"/>
    <w:rsid w:val="00701025"/>
    <w:rsid w:val="00701968"/>
    <w:rsid w:val="00702147"/>
    <w:rsid w:val="00702BE3"/>
    <w:rsid w:val="00705CCB"/>
    <w:rsid w:val="007062F1"/>
    <w:rsid w:val="007106AA"/>
    <w:rsid w:val="00710BD7"/>
    <w:rsid w:val="007113AC"/>
    <w:rsid w:val="007129A6"/>
    <w:rsid w:val="00712FAF"/>
    <w:rsid w:val="00713CDF"/>
    <w:rsid w:val="00713EDF"/>
    <w:rsid w:val="00714D30"/>
    <w:rsid w:val="007151A2"/>
    <w:rsid w:val="007152C0"/>
    <w:rsid w:val="0071559B"/>
    <w:rsid w:val="007155CA"/>
    <w:rsid w:val="007165FE"/>
    <w:rsid w:val="0071662E"/>
    <w:rsid w:val="00716EA3"/>
    <w:rsid w:val="007172A1"/>
    <w:rsid w:val="007179EA"/>
    <w:rsid w:val="00720B29"/>
    <w:rsid w:val="00722380"/>
    <w:rsid w:val="007224AE"/>
    <w:rsid w:val="00722633"/>
    <w:rsid w:val="00724134"/>
    <w:rsid w:val="00724601"/>
    <w:rsid w:val="0072470D"/>
    <w:rsid w:val="00725C92"/>
    <w:rsid w:val="007261F3"/>
    <w:rsid w:val="0072639E"/>
    <w:rsid w:val="00726EA1"/>
    <w:rsid w:val="0072707E"/>
    <w:rsid w:val="007274B8"/>
    <w:rsid w:val="007277E2"/>
    <w:rsid w:val="007309B6"/>
    <w:rsid w:val="00730AEA"/>
    <w:rsid w:val="00731560"/>
    <w:rsid w:val="00732331"/>
    <w:rsid w:val="007328D5"/>
    <w:rsid w:val="00734320"/>
    <w:rsid w:val="00736FE6"/>
    <w:rsid w:val="00737DE2"/>
    <w:rsid w:val="00740151"/>
    <w:rsid w:val="00740C99"/>
    <w:rsid w:val="00741EF6"/>
    <w:rsid w:val="0074216A"/>
    <w:rsid w:val="00742280"/>
    <w:rsid w:val="00742B79"/>
    <w:rsid w:val="00742DBE"/>
    <w:rsid w:val="007432B7"/>
    <w:rsid w:val="00744085"/>
    <w:rsid w:val="00745216"/>
    <w:rsid w:val="00745A00"/>
    <w:rsid w:val="00745C2A"/>
    <w:rsid w:val="00745CB2"/>
    <w:rsid w:val="00746C43"/>
    <w:rsid w:val="00747188"/>
    <w:rsid w:val="007474EA"/>
    <w:rsid w:val="0075028E"/>
    <w:rsid w:val="00751291"/>
    <w:rsid w:val="0075172F"/>
    <w:rsid w:val="00752A2B"/>
    <w:rsid w:val="00752AD9"/>
    <w:rsid w:val="0075391A"/>
    <w:rsid w:val="00753DC5"/>
    <w:rsid w:val="00753F10"/>
    <w:rsid w:val="007540C0"/>
    <w:rsid w:val="0075521B"/>
    <w:rsid w:val="0075563A"/>
    <w:rsid w:val="007557A7"/>
    <w:rsid w:val="00756217"/>
    <w:rsid w:val="007568D4"/>
    <w:rsid w:val="007601EC"/>
    <w:rsid w:val="00761809"/>
    <w:rsid w:val="00762390"/>
    <w:rsid w:val="00762AAF"/>
    <w:rsid w:val="00763E6F"/>
    <w:rsid w:val="00764C04"/>
    <w:rsid w:val="00765C6B"/>
    <w:rsid w:val="00765D88"/>
    <w:rsid w:val="0076611D"/>
    <w:rsid w:val="00766418"/>
    <w:rsid w:val="00767BFF"/>
    <w:rsid w:val="00767DE7"/>
    <w:rsid w:val="00767FF6"/>
    <w:rsid w:val="00771CAD"/>
    <w:rsid w:val="007734C0"/>
    <w:rsid w:val="00775486"/>
    <w:rsid w:val="00780330"/>
    <w:rsid w:val="00780973"/>
    <w:rsid w:val="00780FD3"/>
    <w:rsid w:val="007829C2"/>
    <w:rsid w:val="00782C86"/>
    <w:rsid w:val="00784446"/>
    <w:rsid w:val="007846E9"/>
    <w:rsid w:val="007851E9"/>
    <w:rsid w:val="007852AE"/>
    <w:rsid w:val="007852E3"/>
    <w:rsid w:val="0078597C"/>
    <w:rsid w:val="00785C73"/>
    <w:rsid w:val="007869B2"/>
    <w:rsid w:val="007871E6"/>
    <w:rsid w:val="0078723C"/>
    <w:rsid w:val="00790157"/>
    <w:rsid w:val="0079148B"/>
    <w:rsid w:val="00792142"/>
    <w:rsid w:val="0079268A"/>
    <w:rsid w:val="00792A00"/>
    <w:rsid w:val="007946AD"/>
    <w:rsid w:val="0079487D"/>
    <w:rsid w:val="00794A9F"/>
    <w:rsid w:val="0079645D"/>
    <w:rsid w:val="007A0C06"/>
    <w:rsid w:val="007A12AE"/>
    <w:rsid w:val="007A1A90"/>
    <w:rsid w:val="007A25F7"/>
    <w:rsid w:val="007A2818"/>
    <w:rsid w:val="007A3424"/>
    <w:rsid w:val="007A3920"/>
    <w:rsid w:val="007A3934"/>
    <w:rsid w:val="007A3F16"/>
    <w:rsid w:val="007A401B"/>
    <w:rsid w:val="007A40FA"/>
    <w:rsid w:val="007A420D"/>
    <w:rsid w:val="007A4BBD"/>
    <w:rsid w:val="007A4C22"/>
    <w:rsid w:val="007A4FB3"/>
    <w:rsid w:val="007A5178"/>
    <w:rsid w:val="007A584A"/>
    <w:rsid w:val="007A6838"/>
    <w:rsid w:val="007A6980"/>
    <w:rsid w:val="007A74AD"/>
    <w:rsid w:val="007A798E"/>
    <w:rsid w:val="007B1334"/>
    <w:rsid w:val="007B14A2"/>
    <w:rsid w:val="007B1A1A"/>
    <w:rsid w:val="007B1F90"/>
    <w:rsid w:val="007B29AB"/>
    <w:rsid w:val="007B31BE"/>
    <w:rsid w:val="007B341B"/>
    <w:rsid w:val="007B361B"/>
    <w:rsid w:val="007B376A"/>
    <w:rsid w:val="007B37C2"/>
    <w:rsid w:val="007B4720"/>
    <w:rsid w:val="007B4DD5"/>
    <w:rsid w:val="007B58BA"/>
    <w:rsid w:val="007B63AF"/>
    <w:rsid w:val="007B6851"/>
    <w:rsid w:val="007B78DD"/>
    <w:rsid w:val="007B7BD0"/>
    <w:rsid w:val="007B7C46"/>
    <w:rsid w:val="007C045D"/>
    <w:rsid w:val="007C0611"/>
    <w:rsid w:val="007C286B"/>
    <w:rsid w:val="007C32F6"/>
    <w:rsid w:val="007C3375"/>
    <w:rsid w:val="007C3F1D"/>
    <w:rsid w:val="007C4EAD"/>
    <w:rsid w:val="007C54AD"/>
    <w:rsid w:val="007C5D66"/>
    <w:rsid w:val="007C5E6A"/>
    <w:rsid w:val="007C6594"/>
    <w:rsid w:val="007C68E3"/>
    <w:rsid w:val="007C700B"/>
    <w:rsid w:val="007C7493"/>
    <w:rsid w:val="007C7608"/>
    <w:rsid w:val="007D0843"/>
    <w:rsid w:val="007D185C"/>
    <w:rsid w:val="007D34D4"/>
    <w:rsid w:val="007D4219"/>
    <w:rsid w:val="007D4B22"/>
    <w:rsid w:val="007D4C39"/>
    <w:rsid w:val="007D5462"/>
    <w:rsid w:val="007D57E0"/>
    <w:rsid w:val="007D7E1F"/>
    <w:rsid w:val="007E15D9"/>
    <w:rsid w:val="007E239D"/>
    <w:rsid w:val="007E2703"/>
    <w:rsid w:val="007E291B"/>
    <w:rsid w:val="007E2A14"/>
    <w:rsid w:val="007E31F4"/>
    <w:rsid w:val="007E33A3"/>
    <w:rsid w:val="007E3B04"/>
    <w:rsid w:val="007E4036"/>
    <w:rsid w:val="007E4CD3"/>
    <w:rsid w:val="007E4ED6"/>
    <w:rsid w:val="007E587A"/>
    <w:rsid w:val="007E598C"/>
    <w:rsid w:val="007E62D5"/>
    <w:rsid w:val="007E638D"/>
    <w:rsid w:val="007E65E8"/>
    <w:rsid w:val="007E71A0"/>
    <w:rsid w:val="007E77BD"/>
    <w:rsid w:val="007F040C"/>
    <w:rsid w:val="007F0507"/>
    <w:rsid w:val="007F07E7"/>
    <w:rsid w:val="007F0C69"/>
    <w:rsid w:val="007F0F3A"/>
    <w:rsid w:val="007F2316"/>
    <w:rsid w:val="007F37FB"/>
    <w:rsid w:val="007F3D5F"/>
    <w:rsid w:val="007F60C3"/>
    <w:rsid w:val="007F6648"/>
    <w:rsid w:val="007F6BA5"/>
    <w:rsid w:val="007F794E"/>
    <w:rsid w:val="007F7995"/>
    <w:rsid w:val="008000CE"/>
    <w:rsid w:val="00800397"/>
    <w:rsid w:val="008008F2"/>
    <w:rsid w:val="00800EA6"/>
    <w:rsid w:val="00801691"/>
    <w:rsid w:val="00801E03"/>
    <w:rsid w:val="00802540"/>
    <w:rsid w:val="00802B71"/>
    <w:rsid w:val="0080322B"/>
    <w:rsid w:val="008049F7"/>
    <w:rsid w:val="00805359"/>
    <w:rsid w:val="00805E99"/>
    <w:rsid w:val="0080615B"/>
    <w:rsid w:val="00810781"/>
    <w:rsid w:val="0081180D"/>
    <w:rsid w:val="00811B24"/>
    <w:rsid w:val="0081436A"/>
    <w:rsid w:val="0081455F"/>
    <w:rsid w:val="008147DF"/>
    <w:rsid w:val="00814E1F"/>
    <w:rsid w:val="00814E27"/>
    <w:rsid w:val="00816E06"/>
    <w:rsid w:val="00817B1A"/>
    <w:rsid w:val="00817B29"/>
    <w:rsid w:val="00817B5B"/>
    <w:rsid w:val="0082013D"/>
    <w:rsid w:val="00821845"/>
    <w:rsid w:val="00821FCC"/>
    <w:rsid w:val="00822290"/>
    <w:rsid w:val="008231FA"/>
    <w:rsid w:val="00823A05"/>
    <w:rsid w:val="00824399"/>
    <w:rsid w:val="00824F6A"/>
    <w:rsid w:val="00825091"/>
    <w:rsid w:val="008254EF"/>
    <w:rsid w:val="008258EA"/>
    <w:rsid w:val="00826BD5"/>
    <w:rsid w:val="00827088"/>
    <w:rsid w:val="00830965"/>
    <w:rsid w:val="008311C6"/>
    <w:rsid w:val="0083293C"/>
    <w:rsid w:val="00832CCC"/>
    <w:rsid w:val="00833A14"/>
    <w:rsid w:val="00833B0C"/>
    <w:rsid w:val="0083435C"/>
    <w:rsid w:val="008346FA"/>
    <w:rsid w:val="00834E37"/>
    <w:rsid w:val="00835ED8"/>
    <w:rsid w:val="00836DBF"/>
    <w:rsid w:val="00840157"/>
    <w:rsid w:val="0084083C"/>
    <w:rsid w:val="00840974"/>
    <w:rsid w:val="00840C62"/>
    <w:rsid w:val="0084101B"/>
    <w:rsid w:val="00842425"/>
    <w:rsid w:val="00843AE0"/>
    <w:rsid w:val="00845B15"/>
    <w:rsid w:val="00845C08"/>
    <w:rsid w:val="00845F1C"/>
    <w:rsid w:val="00845FFF"/>
    <w:rsid w:val="0084730A"/>
    <w:rsid w:val="008478CD"/>
    <w:rsid w:val="00847915"/>
    <w:rsid w:val="00847AF5"/>
    <w:rsid w:val="00847F79"/>
    <w:rsid w:val="00850065"/>
    <w:rsid w:val="0085027E"/>
    <w:rsid w:val="008504C4"/>
    <w:rsid w:val="00850A9F"/>
    <w:rsid w:val="00852053"/>
    <w:rsid w:val="00852439"/>
    <w:rsid w:val="008554A9"/>
    <w:rsid w:val="0085582A"/>
    <w:rsid w:val="00855D0B"/>
    <w:rsid w:val="0085608A"/>
    <w:rsid w:val="0085653E"/>
    <w:rsid w:val="00856552"/>
    <w:rsid w:val="008565E1"/>
    <w:rsid w:val="00856A1E"/>
    <w:rsid w:val="00856C14"/>
    <w:rsid w:val="00856D57"/>
    <w:rsid w:val="00857330"/>
    <w:rsid w:val="0086111C"/>
    <w:rsid w:val="008612C7"/>
    <w:rsid w:val="00861B27"/>
    <w:rsid w:val="008629FB"/>
    <w:rsid w:val="00862DB3"/>
    <w:rsid w:val="00863071"/>
    <w:rsid w:val="00863A12"/>
    <w:rsid w:val="00863B3B"/>
    <w:rsid w:val="0086428E"/>
    <w:rsid w:val="0086526C"/>
    <w:rsid w:val="008661CD"/>
    <w:rsid w:val="008668AE"/>
    <w:rsid w:val="00866B47"/>
    <w:rsid w:val="00866BD6"/>
    <w:rsid w:val="00866D25"/>
    <w:rsid w:val="00866D5A"/>
    <w:rsid w:val="00866E1C"/>
    <w:rsid w:val="00866FF3"/>
    <w:rsid w:val="008700FF"/>
    <w:rsid w:val="00870B56"/>
    <w:rsid w:val="008711BD"/>
    <w:rsid w:val="00871250"/>
    <w:rsid w:val="00871CC3"/>
    <w:rsid w:val="00875BE9"/>
    <w:rsid w:val="008764F2"/>
    <w:rsid w:val="00880C94"/>
    <w:rsid w:val="00880EF7"/>
    <w:rsid w:val="00881107"/>
    <w:rsid w:val="00881809"/>
    <w:rsid w:val="00881C51"/>
    <w:rsid w:val="00881FC0"/>
    <w:rsid w:val="00881FC2"/>
    <w:rsid w:val="00882EED"/>
    <w:rsid w:val="00883758"/>
    <w:rsid w:val="008841EE"/>
    <w:rsid w:val="008844BA"/>
    <w:rsid w:val="00884B46"/>
    <w:rsid w:val="0088507A"/>
    <w:rsid w:val="00885A69"/>
    <w:rsid w:val="00886313"/>
    <w:rsid w:val="00886A0D"/>
    <w:rsid w:val="00886DE8"/>
    <w:rsid w:val="00886EED"/>
    <w:rsid w:val="00887BC3"/>
    <w:rsid w:val="00890496"/>
    <w:rsid w:val="00890A2F"/>
    <w:rsid w:val="00890CD8"/>
    <w:rsid w:val="00890FA1"/>
    <w:rsid w:val="00891B14"/>
    <w:rsid w:val="00891CAC"/>
    <w:rsid w:val="00892961"/>
    <w:rsid w:val="008932D4"/>
    <w:rsid w:val="008943A0"/>
    <w:rsid w:val="0089456E"/>
    <w:rsid w:val="00894AA9"/>
    <w:rsid w:val="00895488"/>
    <w:rsid w:val="008954A5"/>
    <w:rsid w:val="00896599"/>
    <w:rsid w:val="00896CF7"/>
    <w:rsid w:val="008979AE"/>
    <w:rsid w:val="00897AFD"/>
    <w:rsid w:val="008A03E0"/>
    <w:rsid w:val="008A07EB"/>
    <w:rsid w:val="008A07FD"/>
    <w:rsid w:val="008A0913"/>
    <w:rsid w:val="008A0F1E"/>
    <w:rsid w:val="008A1A72"/>
    <w:rsid w:val="008A20AA"/>
    <w:rsid w:val="008A2837"/>
    <w:rsid w:val="008A2A3E"/>
    <w:rsid w:val="008A3545"/>
    <w:rsid w:val="008A35B3"/>
    <w:rsid w:val="008A3836"/>
    <w:rsid w:val="008A3920"/>
    <w:rsid w:val="008A4607"/>
    <w:rsid w:val="008A46B0"/>
    <w:rsid w:val="008A4768"/>
    <w:rsid w:val="008A69B1"/>
    <w:rsid w:val="008A7D2A"/>
    <w:rsid w:val="008B0941"/>
    <w:rsid w:val="008B0E5C"/>
    <w:rsid w:val="008B25DB"/>
    <w:rsid w:val="008B2AF7"/>
    <w:rsid w:val="008B3386"/>
    <w:rsid w:val="008B515F"/>
    <w:rsid w:val="008B6B6F"/>
    <w:rsid w:val="008B6C9D"/>
    <w:rsid w:val="008B6DA5"/>
    <w:rsid w:val="008B7300"/>
    <w:rsid w:val="008C01ED"/>
    <w:rsid w:val="008C044F"/>
    <w:rsid w:val="008C099F"/>
    <w:rsid w:val="008C11C8"/>
    <w:rsid w:val="008C20D3"/>
    <w:rsid w:val="008C23E9"/>
    <w:rsid w:val="008C308F"/>
    <w:rsid w:val="008C5073"/>
    <w:rsid w:val="008C57CF"/>
    <w:rsid w:val="008C6212"/>
    <w:rsid w:val="008C7A1B"/>
    <w:rsid w:val="008D1214"/>
    <w:rsid w:val="008D1B8B"/>
    <w:rsid w:val="008D1FA1"/>
    <w:rsid w:val="008D2469"/>
    <w:rsid w:val="008D2730"/>
    <w:rsid w:val="008D2C44"/>
    <w:rsid w:val="008D30EE"/>
    <w:rsid w:val="008D39A6"/>
    <w:rsid w:val="008D454B"/>
    <w:rsid w:val="008D45FF"/>
    <w:rsid w:val="008D5D80"/>
    <w:rsid w:val="008D5DAE"/>
    <w:rsid w:val="008D6205"/>
    <w:rsid w:val="008D6415"/>
    <w:rsid w:val="008D6616"/>
    <w:rsid w:val="008D6E29"/>
    <w:rsid w:val="008D71CC"/>
    <w:rsid w:val="008D7817"/>
    <w:rsid w:val="008D7E0C"/>
    <w:rsid w:val="008E0724"/>
    <w:rsid w:val="008E19FE"/>
    <w:rsid w:val="008E254B"/>
    <w:rsid w:val="008E2EB9"/>
    <w:rsid w:val="008E3AEC"/>
    <w:rsid w:val="008E3B98"/>
    <w:rsid w:val="008E4689"/>
    <w:rsid w:val="008E4AAE"/>
    <w:rsid w:val="008E4E32"/>
    <w:rsid w:val="008E5B1F"/>
    <w:rsid w:val="008E5FEE"/>
    <w:rsid w:val="008E6907"/>
    <w:rsid w:val="008E69D1"/>
    <w:rsid w:val="008E78C5"/>
    <w:rsid w:val="008E7AE6"/>
    <w:rsid w:val="008E7F3F"/>
    <w:rsid w:val="008F0EC5"/>
    <w:rsid w:val="008F20CD"/>
    <w:rsid w:val="008F391B"/>
    <w:rsid w:val="008F393E"/>
    <w:rsid w:val="008F3A07"/>
    <w:rsid w:val="008F3B5F"/>
    <w:rsid w:val="008F41CD"/>
    <w:rsid w:val="008F49D6"/>
    <w:rsid w:val="008F4A0E"/>
    <w:rsid w:val="008F656B"/>
    <w:rsid w:val="008F75FD"/>
    <w:rsid w:val="008F7CD8"/>
    <w:rsid w:val="009006F8"/>
    <w:rsid w:val="00901E26"/>
    <w:rsid w:val="0090375D"/>
    <w:rsid w:val="00903AB3"/>
    <w:rsid w:val="009050C0"/>
    <w:rsid w:val="00905519"/>
    <w:rsid w:val="009056A5"/>
    <w:rsid w:val="00905911"/>
    <w:rsid w:val="00905DD7"/>
    <w:rsid w:val="0090626B"/>
    <w:rsid w:val="00906AA1"/>
    <w:rsid w:val="00906EBC"/>
    <w:rsid w:val="00906F5E"/>
    <w:rsid w:val="00907075"/>
    <w:rsid w:val="00907D98"/>
    <w:rsid w:val="00907F7B"/>
    <w:rsid w:val="00910FD5"/>
    <w:rsid w:val="00911425"/>
    <w:rsid w:val="00912176"/>
    <w:rsid w:val="0091221E"/>
    <w:rsid w:val="0091428C"/>
    <w:rsid w:val="00914D40"/>
    <w:rsid w:val="00915354"/>
    <w:rsid w:val="009157DA"/>
    <w:rsid w:val="00915C8B"/>
    <w:rsid w:val="00915DF3"/>
    <w:rsid w:val="00915F10"/>
    <w:rsid w:val="0091748C"/>
    <w:rsid w:val="009178AD"/>
    <w:rsid w:val="00917B85"/>
    <w:rsid w:val="009209C4"/>
    <w:rsid w:val="00921091"/>
    <w:rsid w:val="0092194A"/>
    <w:rsid w:val="00921B1D"/>
    <w:rsid w:val="0092267A"/>
    <w:rsid w:val="00922AE7"/>
    <w:rsid w:val="0092383D"/>
    <w:rsid w:val="00923AE7"/>
    <w:rsid w:val="00925008"/>
    <w:rsid w:val="009257DA"/>
    <w:rsid w:val="0092599B"/>
    <w:rsid w:val="00925C94"/>
    <w:rsid w:val="00925CF1"/>
    <w:rsid w:val="009269B4"/>
    <w:rsid w:val="00926C78"/>
    <w:rsid w:val="009272C2"/>
    <w:rsid w:val="009279F6"/>
    <w:rsid w:val="00927EE7"/>
    <w:rsid w:val="00930ADE"/>
    <w:rsid w:val="00931EE9"/>
    <w:rsid w:val="009324D1"/>
    <w:rsid w:val="0093254C"/>
    <w:rsid w:val="00932F90"/>
    <w:rsid w:val="009331AB"/>
    <w:rsid w:val="00934454"/>
    <w:rsid w:val="009345DF"/>
    <w:rsid w:val="00936622"/>
    <w:rsid w:val="00936A86"/>
    <w:rsid w:val="00936B01"/>
    <w:rsid w:val="0093701D"/>
    <w:rsid w:val="009372EC"/>
    <w:rsid w:val="0093749A"/>
    <w:rsid w:val="00937BFA"/>
    <w:rsid w:val="00937C94"/>
    <w:rsid w:val="00937F9E"/>
    <w:rsid w:val="00937FF4"/>
    <w:rsid w:val="00940203"/>
    <w:rsid w:val="00940277"/>
    <w:rsid w:val="00940508"/>
    <w:rsid w:val="009415D4"/>
    <w:rsid w:val="00941D78"/>
    <w:rsid w:val="00942674"/>
    <w:rsid w:val="009426C5"/>
    <w:rsid w:val="0094482A"/>
    <w:rsid w:val="00944F27"/>
    <w:rsid w:val="00946400"/>
    <w:rsid w:val="00946426"/>
    <w:rsid w:val="00950266"/>
    <w:rsid w:val="009502C0"/>
    <w:rsid w:val="00950BC0"/>
    <w:rsid w:val="0095147C"/>
    <w:rsid w:val="0095160A"/>
    <w:rsid w:val="00951BC5"/>
    <w:rsid w:val="00954095"/>
    <w:rsid w:val="0095433E"/>
    <w:rsid w:val="009554AB"/>
    <w:rsid w:val="00955CFE"/>
    <w:rsid w:val="0095640F"/>
    <w:rsid w:val="00956967"/>
    <w:rsid w:val="0095784C"/>
    <w:rsid w:val="00960700"/>
    <w:rsid w:val="00960902"/>
    <w:rsid w:val="00961C5B"/>
    <w:rsid w:val="0096291B"/>
    <w:rsid w:val="00962B76"/>
    <w:rsid w:val="009636B2"/>
    <w:rsid w:val="00963CDD"/>
    <w:rsid w:val="00964082"/>
    <w:rsid w:val="00964135"/>
    <w:rsid w:val="009651FC"/>
    <w:rsid w:val="0096536C"/>
    <w:rsid w:val="009655BD"/>
    <w:rsid w:val="00965AF1"/>
    <w:rsid w:val="00965FD4"/>
    <w:rsid w:val="00966757"/>
    <w:rsid w:val="009674AB"/>
    <w:rsid w:val="00967728"/>
    <w:rsid w:val="00967986"/>
    <w:rsid w:val="009704AD"/>
    <w:rsid w:val="009708C0"/>
    <w:rsid w:val="00970DC1"/>
    <w:rsid w:val="00972CB8"/>
    <w:rsid w:val="00972DAA"/>
    <w:rsid w:val="00973682"/>
    <w:rsid w:val="00974761"/>
    <w:rsid w:val="00974D06"/>
    <w:rsid w:val="00975448"/>
    <w:rsid w:val="00975B9D"/>
    <w:rsid w:val="00975F79"/>
    <w:rsid w:val="00976A54"/>
    <w:rsid w:val="00980F9E"/>
    <w:rsid w:val="00981B2E"/>
    <w:rsid w:val="00981CC7"/>
    <w:rsid w:val="0098312A"/>
    <w:rsid w:val="0098382D"/>
    <w:rsid w:val="00984670"/>
    <w:rsid w:val="00984677"/>
    <w:rsid w:val="00984E59"/>
    <w:rsid w:val="00985256"/>
    <w:rsid w:val="00985A4C"/>
    <w:rsid w:val="00985C12"/>
    <w:rsid w:val="009864B4"/>
    <w:rsid w:val="009871AD"/>
    <w:rsid w:val="00987243"/>
    <w:rsid w:val="009873C5"/>
    <w:rsid w:val="00987EE7"/>
    <w:rsid w:val="00987F25"/>
    <w:rsid w:val="00990A32"/>
    <w:rsid w:val="0099104B"/>
    <w:rsid w:val="00991988"/>
    <w:rsid w:val="00993809"/>
    <w:rsid w:val="009942C5"/>
    <w:rsid w:val="00994B67"/>
    <w:rsid w:val="009955EC"/>
    <w:rsid w:val="009958B1"/>
    <w:rsid w:val="00995EB8"/>
    <w:rsid w:val="00996DFD"/>
    <w:rsid w:val="0099701E"/>
    <w:rsid w:val="00997074"/>
    <w:rsid w:val="00997533"/>
    <w:rsid w:val="009978AD"/>
    <w:rsid w:val="00997DC1"/>
    <w:rsid w:val="009A0AC0"/>
    <w:rsid w:val="009A0E0E"/>
    <w:rsid w:val="009A0EC9"/>
    <w:rsid w:val="009A0F6B"/>
    <w:rsid w:val="009A2C74"/>
    <w:rsid w:val="009A3891"/>
    <w:rsid w:val="009A3B70"/>
    <w:rsid w:val="009A4697"/>
    <w:rsid w:val="009A4F02"/>
    <w:rsid w:val="009A610A"/>
    <w:rsid w:val="009A652E"/>
    <w:rsid w:val="009A697D"/>
    <w:rsid w:val="009A6C9D"/>
    <w:rsid w:val="009A7255"/>
    <w:rsid w:val="009A72F9"/>
    <w:rsid w:val="009A779B"/>
    <w:rsid w:val="009A7CA6"/>
    <w:rsid w:val="009B1C6C"/>
    <w:rsid w:val="009B2BB8"/>
    <w:rsid w:val="009B2E69"/>
    <w:rsid w:val="009B2F92"/>
    <w:rsid w:val="009B30FB"/>
    <w:rsid w:val="009B361B"/>
    <w:rsid w:val="009B3722"/>
    <w:rsid w:val="009B37F9"/>
    <w:rsid w:val="009B3CAA"/>
    <w:rsid w:val="009B3FB6"/>
    <w:rsid w:val="009B45FA"/>
    <w:rsid w:val="009B479A"/>
    <w:rsid w:val="009B5FCA"/>
    <w:rsid w:val="009B703A"/>
    <w:rsid w:val="009B7AC8"/>
    <w:rsid w:val="009C01C0"/>
    <w:rsid w:val="009C01F8"/>
    <w:rsid w:val="009C0655"/>
    <w:rsid w:val="009C2414"/>
    <w:rsid w:val="009C2A95"/>
    <w:rsid w:val="009C2AFC"/>
    <w:rsid w:val="009C3967"/>
    <w:rsid w:val="009C3BA0"/>
    <w:rsid w:val="009C43E9"/>
    <w:rsid w:val="009C488F"/>
    <w:rsid w:val="009C51C1"/>
    <w:rsid w:val="009C57BC"/>
    <w:rsid w:val="009C5E19"/>
    <w:rsid w:val="009C61A0"/>
    <w:rsid w:val="009C663B"/>
    <w:rsid w:val="009C7284"/>
    <w:rsid w:val="009C7FA1"/>
    <w:rsid w:val="009D096E"/>
    <w:rsid w:val="009D098C"/>
    <w:rsid w:val="009D0DC6"/>
    <w:rsid w:val="009D153D"/>
    <w:rsid w:val="009D18E9"/>
    <w:rsid w:val="009D2954"/>
    <w:rsid w:val="009D29D9"/>
    <w:rsid w:val="009D2BD9"/>
    <w:rsid w:val="009D2F1A"/>
    <w:rsid w:val="009D3E46"/>
    <w:rsid w:val="009D4338"/>
    <w:rsid w:val="009D5959"/>
    <w:rsid w:val="009D6145"/>
    <w:rsid w:val="009D683B"/>
    <w:rsid w:val="009D698A"/>
    <w:rsid w:val="009D6DBE"/>
    <w:rsid w:val="009D6EF2"/>
    <w:rsid w:val="009D734B"/>
    <w:rsid w:val="009D73E7"/>
    <w:rsid w:val="009D783F"/>
    <w:rsid w:val="009D79E3"/>
    <w:rsid w:val="009D7D5E"/>
    <w:rsid w:val="009E050B"/>
    <w:rsid w:val="009E122C"/>
    <w:rsid w:val="009E12D7"/>
    <w:rsid w:val="009E22C9"/>
    <w:rsid w:val="009E25C2"/>
    <w:rsid w:val="009E29B2"/>
    <w:rsid w:val="009E2A0B"/>
    <w:rsid w:val="009E2E62"/>
    <w:rsid w:val="009E2EA6"/>
    <w:rsid w:val="009E55F8"/>
    <w:rsid w:val="009E58D3"/>
    <w:rsid w:val="009E5FCF"/>
    <w:rsid w:val="009F03C4"/>
    <w:rsid w:val="009F09F1"/>
    <w:rsid w:val="009F1338"/>
    <w:rsid w:val="009F18F9"/>
    <w:rsid w:val="009F2381"/>
    <w:rsid w:val="009F24F7"/>
    <w:rsid w:val="009F5D18"/>
    <w:rsid w:val="009F6637"/>
    <w:rsid w:val="009F6CB3"/>
    <w:rsid w:val="009F79B1"/>
    <w:rsid w:val="009F7A21"/>
    <w:rsid w:val="00A000DC"/>
    <w:rsid w:val="00A00A05"/>
    <w:rsid w:val="00A00F11"/>
    <w:rsid w:val="00A0125E"/>
    <w:rsid w:val="00A01EA7"/>
    <w:rsid w:val="00A01FC5"/>
    <w:rsid w:val="00A02000"/>
    <w:rsid w:val="00A0246D"/>
    <w:rsid w:val="00A02539"/>
    <w:rsid w:val="00A04015"/>
    <w:rsid w:val="00A04738"/>
    <w:rsid w:val="00A04BB1"/>
    <w:rsid w:val="00A10A91"/>
    <w:rsid w:val="00A10ACD"/>
    <w:rsid w:val="00A112EA"/>
    <w:rsid w:val="00A11D7B"/>
    <w:rsid w:val="00A1430C"/>
    <w:rsid w:val="00A145F1"/>
    <w:rsid w:val="00A16021"/>
    <w:rsid w:val="00A161C3"/>
    <w:rsid w:val="00A170E9"/>
    <w:rsid w:val="00A17B02"/>
    <w:rsid w:val="00A17FF2"/>
    <w:rsid w:val="00A206D9"/>
    <w:rsid w:val="00A2272C"/>
    <w:rsid w:val="00A2288A"/>
    <w:rsid w:val="00A23D4F"/>
    <w:rsid w:val="00A23DA1"/>
    <w:rsid w:val="00A2480C"/>
    <w:rsid w:val="00A257CC"/>
    <w:rsid w:val="00A25983"/>
    <w:rsid w:val="00A26433"/>
    <w:rsid w:val="00A27D6C"/>
    <w:rsid w:val="00A30B93"/>
    <w:rsid w:val="00A31653"/>
    <w:rsid w:val="00A3165E"/>
    <w:rsid w:val="00A31B06"/>
    <w:rsid w:val="00A32405"/>
    <w:rsid w:val="00A3340D"/>
    <w:rsid w:val="00A348A9"/>
    <w:rsid w:val="00A34A2A"/>
    <w:rsid w:val="00A3509A"/>
    <w:rsid w:val="00A3559B"/>
    <w:rsid w:val="00A358A1"/>
    <w:rsid w:val="00A35B41"/>
    <w:rsid w:val="00A35F19"/>
    <w:rsid w:val="00A361EB"/>
    <w:rsid w:val="00A36F2B"/>
    <w:rsid w:val="00A37587"/>
    <w:rsid w:val="00A40059"/>
    <w:rsid w:val="00A41364"/>
    <w:rsid w:val="00A41BC8"/>
    <w:rsid w:val="00A41C09"/>
    <w:rsid w:val="00A42182"/>
    <w:rsid w:val="00A43F4E"/>
    <w:rsid w:val="00A445E8"/>
    <w:rsid w:val="00A45739"/>
    <w:rsid w:val="00A45F9F"/>
    <w:rsid w:val="00A466E2"/>
    <w:rsid w:val="00A46E47"/>
    <w:rsid w:val="00A46E5C"/>
    <w:rsid w:val="00A472E2"/>
    <w:rsid w:val="00A50E11"/>
    <w:rsid w:val="00A5136A"/>
    <w:rsid w:val="00A52084"/>
    <w:rsid w:val="00A530E4"/>
    <w:rsid w:val="00A5357E"/>
    <w:rsid w:val="00A54ACB"/>
    <w:rsid w:val="00A5578A"/>
    <w:rsid w:val="00A55816"/>
    <w:rsid w:val="00A566D6"/>
    <w:rsid w:val="00A56740"/>
    <w:rsid w:val="00A56A4F"/>
    <w:rsid w:val="00A56FE3"/>
    <w:rsid w:val="00A60D99"/>
    <w:rsid w:val="00A610FE"/>
    <w:rsid w:val="00A6216A"/>
    <w:rsid w:val="00A624BF"/>
    <w:rsid w:val="00A624FA"/>
    <w:rsid w:val="00A62DE7"/>
    <w:rsid w:val="00A646A7"/>
    <w:rsid w:val="00A65E42"/>
    <w:rsid w:val="00A662A2"/>
    <w:rsid w:val="00A66AFD"/>
    <w:rsid w:val="00A66CFB"/>
    <w:rsid w:val="00A66D3F"/>
    <w:rsid w:val="00A66FF7"/>
    <w:rsid w:val="00A671FF"/>
    <w:rsid w:val="00A67770"/>
    <w:rsid w:val="00A679C3"/>
    <w:rsid w:val="00A67CFE"/>
    <w:rsid w:val="00A70AD0"/>
    <w:rsid w:val="00A71363"/>
    <w:rsid w:val="00A71483"/>
    <w:rsid w:val="00A71961"/>
    <w:rsid w:val="00A71F04"/>
    <w:rsid w:val="00A72271"/>
    <w:rsid w:val="00A725DF"/>
    <w:rsid w:val="00A727FD"/>
    <w:rsid w:val="00A72F3F"/>
    <w:rsid w:val="00A74186"/>
    <w:rsid w:val="00A7488C"/>
    <w:rsid w:val="00A749B2"/>
    <w:rsid w:val="00A74EF0"/>
    <w:rsid w:val="00A75066"/>
    <w:rsid w:val="00A75428"/>
    <w:rsid w:val="00A771B2"/>
    <w:rsid w:val="00A804CA"/>
    <w:rsid w:val="00A805D0"/>
    <w:rsid w:val="00A8095F"/>
    <w:rsid w:val="00A812CC"/>
    <w:rsid w:val="00A818A0"/>
    <w:rsid w:val="00A82DB1"/>
    <w:rsid w:val="00A83FC3"/>
    <w:rsid w:val="00A85408"/>
    <w:rsid w:val="00A85E1F"/>
    <w:rsid w:val="00A85F70"/>
    <w:rsid w:val="00A86E8D"/>
    <w:rsid w:val="00A86EA6"/>
    <w:rsid w:val="00A86F5C"/>
    <w:rsid w:val="00A90529"/>
    <w:rsid w:val="00A90FC6"/>
    <w:rsid w:val="00A9111C"/>
    <w:rsid w:val="00A91EC9"/>
    <w:rsid w:val="00A92C01"/>
    <w:rsid w:val="00A939B8"/>
    <w:rsid w:val="00A93EB8"/>
    <w:rsid w:val="00A93F2B"/>
    <w:rsid w:val="00A9411C"/>
    <w:rsid w:val="00A94255"/>
    <w:rsid w:val="00A94653"/>
    <w:rsid w:val="00A9512C"/>
    <w:rsid w:val="00A957EF"/>
    <w:rsid w:val="00A95EB0"/>
    <w:rsid w:val="00A96D34"/>
    <w:rsid w:val="00A96FA4"/>
    <w:rsid w:val="00A97625"/>
    <w:rsid w:val="00A97C36"/>
    <w:rsid w:val="00AA045B"/>
    <w:rsid w:val="00AA066E"/>
    <w:rsid w:val="00AA0843"/>
    <w:rsid w:val="00AA1248"/>
    <w:rsid w:val="00AA2E63"/>
    <w:rsid w:val="00AA3381"/>
    <w:rsid w:val="00AA36E4"/>
    <w:rsid w:val="00AA3798"/>
    <w:rsid w:val="00AA423B"/>
    <w:rsid w:val="00AA42BC"/>
    <w:rsid w:val="00AA433F"/>
    <w:rsid w:val="00AA4BF0"/>
    <w:rsid w:val="00AA4D3D"/>
    <w:rsid w:val="00AA51F3"/>
    <w:rsid w:val="00AA5717"/>
    <w:rsid w:val="00AA6596"/>
    <w:rsid w:val="00AA65FB"/>
    <w:rsid w:val="00AA68A9"/>
    <w:rsid w:val="00AA7B08"/>
    <w:rsid w:val="00AA7C7B"/>
    <w:rsid w:val="00AA7D2E"/>
    <w:rsid w:val="00AB0167"/>
    <w:rsid w:val="00AB04E9"/>
    <w:rsid w:val="00AB09DA"/>
    <w:rsid w:val="00AB0B93"/>
    <w:rsid w:val="00AB13BF"/>
    <w:rsid w:val="00AB1FB5"/>
    <w:rsid w:val="00AB2380"/>
    <w:rsid w:val="00AB2C66"/>
    <w:rsid w:val="00AB2D93"/>
    <w:rsid w:val="00AB37AE"/>
    <w:rsid w:val="00AB3834"/>
    <w:rsid w:val="00AB3D88"/>
    <w:rsid w:val="00AB4D0C"/>
    <w:rsid w:val="00AB530F"/>
    <w:rsid w:val="00AB533A"/>
    <w:rsid w:val="00AB53FC"/>
    <w:rsid w:val="00AB56F0"/>
    <w:rsid w:val="00AC0159"/>
    <w:rsid w:val="00AC0E62"/>
    <w:rsid w:val="00AC1761"/>
    <w:rsid w:val="00AC19C2"/>
    <w:rsid w:val="00AC19D7"/>
    <w:rsid w:val="00AC1B15"/>
    <w:rsid w:val="00AC1B7E"/>
    <w:rsid w:val="00AC1F10"/>
    <w:rsid w:val="00AC1F2B"/>
    <w:rsid w:val="00AC2547"/>
    <w:rsid w:val="00AC2F78"/>
    <w:rsid w:val="00AC329D"/>
    <w:rsid w:val="00AC35FD"/>
    <w:rsid w:val="00AC4642"/>
    <w:rsid w:val="00AC51E8"/>
    <w:rsid w:val="00AC5295"/>
    <w:rsid w:val="00AC5DAE"/>
    <w:rsid w:val="00AC5FAC"/>
    <w:rsid w:val="00AC717A"/>
    <w:rsid w:val="00AC77D3"/>
    <w:rsid w:val="00AC792D"/>
    <w:rsid w:val="00AC7FDE"/>
    <w:rsid w:val="00AD06C9"/>
    <w:rsid w:val="00AD298B"/>
    <w:rsid w:val="00AD38EF"/>
    <w:rsid w:val="00AD3DBC"/>
    <w:rsid w:val="00AD41A6"/>
    <w:rsid w:val="00AD5C21"/>
    <w:rsid w:val="00AD65E8"/>
    <w:rsid w:val="00AD6F6C"/>
    <w:rsid w:val="00AD7810"/>
    <w:rsid w:val="00AD7903"/>
    <w:rsid w:val="00AD7DE9"/>
    <w:rsid w:val="00AE114F"/>
    <w:rsid w:val="00AE2A69"/>
    <w:rsid w:val="00AE3AD3"/>
    <w:rsid w:val="00AE4C23"/>
    <w:rsid w:val="00AE5F09"/>
    <w:rsid w:val="00AF1A08"/>
    <w:rsid w:val="00AF1AE7"/>
    <w:rsid w:val="00AF2A16"/>
    <w:rsid w:val="00AF3373"/>
    <w:rsid w:val="00AF33C9"/>
    <w:rsid w:val="00AF3696"/>
    <w:rsid w:val="00AF42D7"/>
    <w:rsid w:val="00AF4DC6"/>
    <w:rsid w:val="00AF4F66"/>
    <w:rsid w:val="00AF5308"/>
    <w:rsid w:val="00AF56A8"/>
    <w:rsid w:val="00AF57CB"/>
    <w:rsid w:val="00AF59FF"/>
    <w:rsid w:val="00AF6BF1"/>
    <w:rsid w:val="00AF757C"/>
    <w:rsid w:val="00AF76E2"/>
    <w:rsid w:val="00AF7976"/>
    <w:rsid w:val="00B01D61"/>
    <w:rsid w:val="00B01EBE"/>
    <w:rsid w:val="00B02104"/>
    <w:rsid w:val="00B023D9"/>
    <w:rsid w:val="00B02A40"/>
    <w:rsid w:val="00B035BA"/>
    <w:rsid w:val="00B03F5A"/>
    <w:rsid w:val="00B04514"/>
    <w:rsid w:val="00B048B8"/>
    <w:rsid w:val="00B0490F"/>
    <w:rsid w:val="00B0572F"/>
    <w:rsid w:val="00B0573E"/>
    <w:rsid w:val="00B05EB1"/>
    <w:rsid w:val="00B10A75"/>
    <w:rsid w:val="00B10DF7"/>
    <w:rsid w:val="00B1130D"/>
    <w:rsid w:val="00B116C2"/>
    <w:rsid w:val="00B12975"/>
    <w:rsid w:val="00B12978"/>
    <w:rsid w:val="00B12B18"/>
    <w:rsid w:val="00B12F60"/>
    <w:rsid w:val="00B13771"/>
    <w:rsid w:val="00B13E52"/>
    <w:rsid w:val="00B14073"/>
    <w:rsid w:val="00B14267"/>
    <w:rsid w:val="00B14A7E"/>
    <w:rsid w:val="00B1543B"/>
    <w:rsid w:val="00B15F22"/>
    <w:rsid w:val="00B1747B"/>
    <w:rsid w:val="00B17B8D"/>
    <w:rsid w:val="00B17C76"/>
    <w:rsid w:val="00B2072E"/>
    <w:rsid w:val="00B20B05"/>
    <w:rsid w:val="00B21901"/>
    <w:rsid w:val="00B21A9A"/>
    <w:rsid w:val="00B22A1D"/>
    <w:rsid w:val="00B22F1A"/>
    <w:rsid w:val="00B23349"/>
    <w:rsid w:val="00B23A90"/>
    <w:rsid w:val="00B24718"/>
    <w:rsid w:val="00B2686C"/>
    <w:rsid w:val="00B3035A"/>
    <w:rsid w:val="00B3066F"/>
    <w:rsid w:val="00B307F9"/>
    <w:rsid w:val="00B31024"/>
    <w:rsid w:val="00B322FF"/>
    <w:rsid w:val="00B3297D"/>
    <w:rsid w:val="00B332E0"/>
    <w:rsid w:val="00B33598"/>
    <w:rsid w:val="00B341BC"/>
    <w:rsid w:val="00B343A8"/>
    <w:rsid w:val="00B35E61"/>
    <w:rsid w:val="00B3608F"/>
    <w:rsid w:val="00B37148"/>
    <w:rsid w:val="00B37FCC"/>
    <w:rsid w:val="00B40240"/>
    <w:rsid w:val="00B40D88"/>
    <w:rsid w:val="00B4149C"/>
    <w:rsid w:val="00B41981"/>
    <w:rsid w:val="00B4199D"/>
    <w:rsid w:val="00B42D4A"/>
    <w:rsid w:val="00B434A8"/>
    <w:rsid w:val="00B43899"/>
    <w:rsid w:val="00B448DC"/>
    <w:rsid w:val="00B45271"/>
    <w:rsid w:val="00B45FE8"/>
    <w:rsid w:val="00B465F7"/>
    <w:rsid w:val="00B479BB"/>
    <w:rsid w:val="00B47D81"/>
    <w:rsid w:val="00B50578"/>
    <w:rsid w:val="00B50D15"/>
    <w:rsid w:val="00B50E47"/>
    <w:rsid w:val="00B50FC4"/>
    <w:rsid w:val="00B52371"/>
    <w:rsid w:val="00B52BEA"/>
    <w:rsid w:val="00B5403C"/>
    <w:rsid w:val="00B54A7E"/>
    <w:rsid w:val="00B54EDB"/>
    <w:rsid w:val="00B5543B"/>
    <w:rsid w:val="00B567F4"/>
    <w:rsid w:val="00B56977"/>
    <w:rsid w:val="00B56A70"/>
    <w:rsid w:val="00B60C9D"/>
    <w:rsid w:val="00B613E0"/>
    <w:rsid w:val="00B621A6"/>
    <w:rsid w:val="00B62248"/>
    <w:rsid w:val="00B62256"/>
    <w:rsid w:val="00B626F9"/>
    <w:rsid w:val="00B62A5E"/>
    <w:rsid w:val="00B62D1F"/>
    <w:rsid w:val="00B630D7"/>
    <w:rsid w:val="00B631BE"/>
    <w:rsid w:val="00B63371"/>
    <w:rsid w:val="00B63993"/>
    <w:rsid w:val="00B63C39"/>
    <w:rsid w:val="00B63E47"/>
    <w:rsid w:val="00B655FD"/>
    <w:rsid w:val="00B65DA9"/>
    <w:rsid w:val="00B66387"/>
    <w:rsid w:val="00B6703B"/>
    <w:rsid w:val="00B67CEB"/>
    <w:rsid w:val="00B7053B"/>
    <w:rsid w:val="00B70BD7"/>
    <w:rsid w:val="00B73185"/>
    <w:rsid w:val="00B73331"/>
    <w:rsid w:val="00B7416C"/>
    <w:rsid w:val="00B741F1"/>
    <w:rsid w:val="00B7696C"/>
    <w:rsid w:val="00B7720E"/>
    <w:rsid w:val="00B77394"/>
    <w:rsid w:val="00B801AC"/>
    <w:rsid w:val="00B81455"/>
    <w:rsid w:val="00B8294F"/>
    <w:rsid w:val="00B829D4"/>
    <w:rsid w:val="00B83480"/>
    <w:rsid w:val="00B84399"/>
    <w:rsid w:val="00B848FA"/>
    <w:rsid w:val="00B85772"/>
    <w:rsid w:val="00B85C43"/>
    <w:rsid w:val="00B85C89"/>
    <w:rsid w:val="00B86DAF"/>
    <w:rsid w:val="00B872CB"/>
    <w:rsid w:val="00B90763"/>
    <w:rsid w:val="00B915F3"/>
    <w:rsid w:val="00B93C9B"/>
    <w:rsid w:val="00B949E9"/>
    <w:rsid w:val="00B94EC7"/>
    <w:rsid w:val="00B951EE"/>
    <w:rsid w:val="00B9552D"/>
    <w:rsid w:val="00B95A27"/>
    <w:rsid w:val="00B95DBC"/>
    <w:rsid w:val="00B95EFB"/>
    <w:rsid w:val="00B96640"/>
    <w:rsid w:val="00B9678C"/>
    <w:rsid w:val="00B96C04"/>
    <w:rsid w:val="00B97857"/>
    <w:rsid w:val="00B97C94"/>
    <w:rsid w:val="00B97CD2"/>
    <w:rsid w:val="00BA01C9"/>
    <w:rsid w:val="00BA15F5"/>
    <w:rsid w:val="00BA1DEB"/>
    <w:rsid w:val="00BA23BC"/>
    <w:rsid w:val="00BA29C3"/>
    <w:rsid w:val="00BA412F"/>
    <w:rsid w:val="00BA5197"/>
    <w:rsid w:val="00BA5554"/>
    <w:rsid w:val="00BA60C8"/>
    <w:rsid w:val="00BA7105"/>
    <w:rsid w:val="00BA71CA"/>
    <w:rsid w:val="00BB0179"/>
    <w:rsid w:val="00BB01B9"/>
    <w:rsid w:val="00BB181D"/>
    <w:rsid w:val="00BB18C8"/>
    <w:rsid w:val="00BB1EEA"/>
    <w:rsid w:val="00BB32CD"/>
    <w:rsid w:val="00BB37C6"/>
    <w:rsid w:val="00BB39E5"/>
    <w:rsid w:val="00BB4C70"/>
    <w:rsid w:val="00BB5052"/>
    <w:rsid w:val="00BB56EE"/>
    <w:rsid w:val="00BB5D11"/>
    <w:rsid w:val="00BB5F23"/>
    <w:rsid w:val="00BB631F"/>
    <w:rsid w:val="00BB64BA"/>
    <w:rsid w:val="00BB678B"/>
    <w:rsid w:val="00BB7740"/>
    <w:rsid w:val="00BC08D7"/>
    <w:rsid w:val="00BC0F22"/>
    <w:rsid w:val="00BC102A"/>
    <w:rsid w:val="00BC102F"/>
    <w:rsid w:val="00BC17F4"/>
    <w:rsid w:val="00BC1CCC"/>
    <w:rsid w:val="00BC1F70"/>
    <w:rsid w:val="00BC2DB2"/>
    <w:rsid w:val="00BC34A6"/>
    <w:rsid w:val="00BC448D"/>
    <w:rsid w:val="00BC4BD4"/>
    <w:rsid w:val="00BC566B"/>
    <w:rsid w:val="00BC57E1"/>
    <w:rsid w:val="00BC5C6E"/>
    <w:rsid w:val="00BC5F68"/>
    <w:rsid w:val="00BC697C"/>
    <w:rsid w:val="00BC69C3"/>
    <w:rsid w:val="00BC7691"/>
    <w:rsid w:val="00BD0231"/>
    <w:rsid w:val="00BD032F"/>
    <w:rsid w:val="00BD0C3B"/>
    <w:rsid w:val="00BD1393"/>
    <w:rsid w:val="00BD15A4"/>
    <w:rsid w:val="00BD3163"/>
    <w:rsid w:val="00BD329F"/>
    <w:rsid w:val="00BD379C"/>
    <w:rsid w:val="00BD4570"/>
    <w:rsid w:val="00BD5025"/>
    <w:rsid w:val="00BD519A"/>
    <w:rsid w:val="00BD5A2D"/>
    <w:rsid w:val="00BD5B33"/>
    <w:rsid w:val="00BD6845"/>
    <w:rsid w:val="00BE0132"/>
    <w:rsid w:val="00BE01E4"/>
    <w:rsid w:val="00BE03B2"/>
    <w:rsid w:val="00BE089B"/>
    <w:rsid w:val="00BE15BC"/>
    <w:rsid w:val="00BE1825"/>
    <w:rsid w:val="00BE1E73"/>
    <w:rsid w:val="00BE24A7"/>
    <w:rsid w:val="00BE2919"/>
    <w:rsid w:val="00BE3E18"/>
    <w:rsid w:val="00BE4A61"/>
    <w:rsid w:val="00BE5592"/>
    <w:rsid w:val="00BE56B2"/>
    <w:rsid w:val="00BE640B"/>
    <w:rsid w:val="00BE72DC"/>
    <w:rsid w:val="00BE7FD2"/>
    <w:rsid w:val="00BF00CB"/>
    <w:rsid w:val="00BF0677"/>
    <w:rsid w:val="00BF0BE9"/>
    <w:rsid w:val="00BF0DEF"/>
    <w:rsid w:val="00BF12A4"/>
    <w:rsid w:val="00BF130A"/>
    <w:rsid w:val="00BF18DA"/>
    <w:rsid w:val="00BF23A7"/>
    <w:rsid w:val="00BF2853"/>
    <w:rsid w:val="00BF2C40"/>
    <w:rsid w:val="00BF532C"/>
    <w:rsid w:val="00BF5D44"/>
    <w:rsid w:val="00BF6ADF"/>
    <w:rsid w:val="00BF6BBA"/>
    <w:rsid w:val="00C002AE"/>
    <w:rsid w:val="00C00586"/>
    <w:rsid w:val="00C0065B"/>
    <w:rsid w:val="00C0179C"/>
    <w:rsid w:val="00C01CCC"/>
    <w:rsid w:val="00C01FB6"/>
    <w:rsid w:val="00C0212F"/>
    <w:rsid w:val="00C02C36"/>
    <w:rsid w:val="00C02E9B"/>
    <w:rsid w:val="00C02FE8"/>
    <w:rsid w:val="00C0344E"/>
    <w:rsid w:val="00C036EB"/>
    <w:rsid w:val="00C03D06"/>
    <w:rsid w:val="00C0437F"/>
    <w:rsid w:val="00C0507C"/>
    <w:rsid w:val="00C050DF"/>
    <w:rsid w:val="00C0528A"/>
    <w:rsid w:val="00C05344"/>
    <w:rsid w:val="00C05B7E"/>
    <w:rsid w:val="00C05DB8"/>
    <w:rsid w:val="00C06F8F"/>
    <w:rsid w:val="00C072FB"/>
    <w:rsid w:val="00C0775D"/>
    <w:rsid w:val="00C1125B"/>
    <w:rsid w:val="00C11539"/>
    <w:rsid w:val="00C12201"/>
    <w:rsid w:val="00C12B17"/>
    <w:rsid w:val="00C12E48"/>
    <w:rsid w:val="00C12F1F"/>
    <w:rsid w:val="00C1315E"/>
    <w:rsid w:val="00C13A85"/>
    <w:rsid w:val="00C1484D"/>
    <w:rsid w:val="00C149C1"/>
    <w:rsid w:val="00C15D26"/>
    <w:rsid w:val="00C16001"/>
    <w:rsid w:val="00C16CF2"/>
    <w:rsid w:val="00C17C83"/>
    <w:rsid w:val="00C20F32"/>
    <w:rsid w:val="00C210BB"/>
    <w:rsid w:val="00C21E9C"/>
    <w:rsid w:val="00C22892"/>
    <w:rsid w:val="00C23326"/>
    <w:rsid w:val="00C23394"/>
    <w:rsid w:val="00C236C7"/>
    <w:rsid w:val="00C24751"/>
    <w:rsid w:val="00C2524F"/>
    <w:rsid w:val="00C257E6"/>
    <w:rsid w:val="00C267D6"/>
    <w:rsid w:val="00C2687D"/>
    <w:rsid w:val="00C26E57"/>
    <w:rsid w:val="00C270B8"/>
    <w:rsid w:val="00C3133E"/>
    <w:rsid w:val="00C31670"/>
    <w:rsid w:val="00C317CC"/>
    <w:rsid w:val="00C318C5"/>
    <w:rsid w:val="00C31908"/>
    <w:rsid w:val="00C321F0"/>
    <w:rsid w:val="00C32790"/>
    <w:rsid w:val="00C32BF0"/>
    <w:rsid w:val="00C32EAE"/>
    <w:rsid w:val="00C32F44"/>
    <w:rsid w:val="00C33A03"/>
    <w:rsid w:val="00C33E5D"/>
    <w:rsid w:val="00C356DC"/>
    <w:rsid w:val="00C36BCA"/>
    <w:rsid w:val="00C36EE0"/>
    <w:rsid w:val="00C37949"/>
    <w:rsid w:val="00C40623"/>
    <w:rsid w:val="00C414E8"/>
    <w:rsid w:val="00C42241"/>
    <w:rsid w:val="00C422D7"/>
    <w:rsid w:val="00C431C7"/>
    <w:rsid w:val="00C4386B"/>
    <w:rsid w:val="00C43B17"/>
    <w:rsid w:val="00C44D26"/>
    <w:rsid w:val="00C46BFF"/>
    <w:rsid w:val="00C503E7"/>
    <w:rsid w:val="00C50A2A"/>
    <w:rsid w:val="00C50E2C"/>
    <w:rsid w:val="00C50FDB"/>
    <w:rsid w:val="00C510AF"/>
    <w:rsid w:val="00C53306"/>
    <w:rsid w:val="00C535CE"/>
    <w:rsid w:val="00C53B32"/>
    <w:rsid w:val="00C541DA"/>
    <w:rsid w:val="00C54797"/>
    <w:rsid w:val="00C551F8"/>
    <w:rsid w:val="00C5533D"/>
    <w:rsid w:val="00C56825"/>
    <w:rsid w:val="00C57C0C"/>
    <w:rsid w:val="00C604E2"/>
    <w:rsid w:val="00C60FE0"/>
    <w:rsid w:val="00C61182"/>
    <w:rsid w:val="00C61877"/>
    <w:rsid w:val="00C63760"/>
    <w:rsid w:val="00C63C37"/>
    <w:rsid w:val="00C64397"/>
    <w:rsid w:val="00C645FA"/>
    <w:rsid w:val="00C647A2"/>
    <w:rsid w:val="00C64995"/>
    <w:rsid w:val="00C64D2A"/>
    <w:rsid w:val="00C65872"/>
    <w:rsid w:val="00C65E2C"/>
    <w:rsid w:val="00C65E60"/>
    <w:rsid w:val="00C66766"/>
    <w:rsid w:val="00C66E67"/>
    <w:rsid w:val="00C66E83"/>
    <w:rsid w:val="00C66FC7"/>
    <w:rsid w:val="00C6756A"/>
    <w:rsid w:val="00C67CA5"/>
    <w:rsid w:val="00C71484"/>
    <w:rsid w:val="00C716D4"/>
    <w:rsid w:val="00C720B1"/>
    <w:rsid w:val="00C7256B"/>
    <w:rsid w:val="00C72587"/>
    <w:rsid w:val="00C73131"/>
    <w:rsid w:val="00C737B5"/>
    <w:rsid w:val="00C738DA"/>
    <w:rsid w:val="00C739A6"/>
    <w:rsid w:val="00C7442D"/>
    <w:rsid w:val="00C74A1B"/>
    <w:rsid w:val="00C75B94"/>
    <w:rsid w:val="00C75E62"/>
    <w:rsid w:val="00C76962"/>
    <w:rsid w:val="00C77A19"/>
    <w:rsid w:val="00C801B8"/>
    <w:rsid w:val="00C80DC6"/>
    <w:rsid w:val="00C8173B"/>
    <w:rsid w:val="00C82AF0"/>
    <w:rsid w:val="00C83189"/>
    <w:rsid w:val="00C83AE6"/>
    <w:rsid w:val="00C844A6"/>
    <w:rsid w:val="00C8572E"/>
    <w:rsid w:val="00C864FB"/>
    <w:rsid w:val="00C868D6"/>
    <w:rsid w:val="00C8705C"/>
    <w:rsid w:val="00C875B6"/>
    <w:rsid w:val="00C9152C"/>
    <w:rsid w:val="00C92708"/>
    <w:rsid w:val="00C9274C"/>
    <w:rsid w:val="00C929C8"/>
    <w:rsid w:val="00C93C75"/>
    <w:rsid w:val="00C94C77"/>
    <w:rsid w:val="00C95C5F"/>
    <w:rsid w:val="00C95E4E"/>
    <w:rsid w:val="00C9623E"/>
    <w:rsid w:val="00C96393"/>
    <w:rsid w:val="00C9645A"/>
    <w:rsid w:val="00C96684"/>
    <w:rsid w:val="00CA0486"/>
    <w:rsid w:val="00CA0AD4"/>
    <w:rsid w:val="00CA1B33"/>
    <w:rsid w:val="00CA28D4"/>
    <w:rsid w:val="00CA2914"/>
    <w:rsid w:val="00CA33F5"/>
    <w:rsid w:val="00CA3960"/>
    <w:rsid w:val="00CA3B04"/>
    <w:rsid w:val="00CA484A"/>
    <w:rsid w:val="00CA4EF6"/>
    <w:rsid w:val="00CA63B7"/>
    <w:rsid w:val="00CA796C"/>
    <w:rsid w:val="00CB1C6B"/>
    <w:rsid w:val="00CB1F43"/>
    <w:rsid w:val="00CB27B5"/>
    <w:rsid w:val="00CB281F"/>
    <w:rsid w:val="00CB2A65"/>
    <w:rsid w:val="00CB4969"/>
    <w:rsid w:val="00CB4AE5"/>
    <w:rsid w:val="00CB4B12"/>
    <w:rsid w:val="00CB5054"/>
    <w:rsid w:val="00CB510E"/>
    <w:rsid w:val="00CB5430"/>
    <w:rsid w:val="00CB59BA"/>
    <w:rsid w:val="00CB6918"/>
    <w:rsid w:val="00CC0139"/>
    <w:rsid w:val="00CC04AA"/>
    <w:rsid w:val="00CC04E2"/>
    <w:rsid w:val="00CC1105"/>
    <w:rsid w:val="00CC1704"/>
    <w:rsid w:val="00CC2540"/>
    <w:rsid w:val="00CC2F3B"/>
    <w:rsid w:val="00CC370B"/>
    <w:rsid w:val="00CC42DB"/>
    <w:rsid w:val="00CC4C96"/>
    <w:rsid w:val="00CC5473"/>
    <w:rsid w:val="00CC5AD8"/>
    <w:rsid w:val="00CC5F4D"/>
    <w:rsid w:val="00CC622C"/>
    <w:rsid w:val="00CD0A9C"/>
    <w:rsid w:val="00CD12C4"/>
    <w:rsid w:val="00CD18C4"/>
    <w:rsid w:val="00CD1A34"/>
    <w:rsid w:val="00CD1A38"/>
    <w:rsid w:val="00CD260B"/>
    <w:rsid w:val="00CD297E"/>
    <w:rsid w:val="00CD2FC4"/>
    <w:rsid w:val="00CD30A4"/>
    <w:rsid w:val="00CD488C"/>
    <w:rsid w:val="00CD49A7"/>
    <w:rsid w:val="00CD5345"/>
    <w:rsid w:val="00CD5EB8"/>
    <w:rsid w:val="00CD6039"/>
    <w:rsid w:val="00CD6FB1"/>
    <w:rsid w:val="00CD7CCD"/>
    <w:rsid w:val="00CD7D5D"/>
    <w:rsid w:val="00CE01D3"/>
    <w:rsid w:val="00CE137F"/>
    <w:rsid w:val="00CE15DE"/>
    <w:rsid w:val="00CE26B0"/>
    <w:rsid w:val="00CE2F8D"/>
    <w:rsid w:val="00CE3DA7"/>
    <w:rsid w:val="00CE5DDA"/>
    <w:rsid w:val="00CE65C4"/>
    <w:rsid w:val="00CE7DEF"/>
    <w:rsid w:val="00CF06C7"/>
    <w:rsid w:val="00CF0C53"/>
    <w:rsid w:val="00CF0F90"/>
    <w:rsid w:val="00CF11BD"/>
    <w:rsid w:val="00CF190E"/>
    <w:rsid w:val="00CF1F34"/>
    <w:rsid w:val="00CF2169"/>
    <w:rsid w:val="00CF2671"/>
    <w:rsid w:val="00CF325B"/>
    <w:rsid w:val="00CF3A3A"/>
    <w:rsid w:val="00CF3DE9"/>
    <w:rsid w:val="00CF3E2A"/>
    <w:rsid w:val="00CF4C64"/>
    <w:rsid w:val="00CF4E56"/>
    <w:rsid w:val="00CF548E"/>
    <w:rsid w:val="00CF58F8"/>
    <w:rsid w:val="00D0044C"/>
    <w:rsid w:val="00D00530"/>
    <w:rsid w:val="00D00C13"/>
    <w:rsid w:val="00D011C4"/>
    <w:rsid w:val="00D015AC"/>
    <w:rsid w:val="00D01635"/>
    <w:rsid w:val="00D01DEA"/>
    <w:rsid w:val="00D038C8"/>
    <w:rsid w:val="00D04AE5"/>
    <w:rsid w:val="00D060EB"/>
    <w:rsid w:val="00D06752"/>
    <w:rsid w:val="00D07801"/>
    <w:rsid w:val="00D1044F"/>
    <w:rsid w:val="00D108A2"/>
    <w:rsid w:val="00D1194D"/>
    <w:rsid w:val="00D129C0"/>
    <w:rsid w:val="00D12A60"/>
    <w:rsid w:val="00D144F0"/>
    <w:rsid w:val="00D14A59"/>
    <w:rsid w:val="00D14CE4"/>
    <w:rsid w:val="00D14D72"/>
    <w:rsid w:val="00D15932"/>
    <w:rsid w:val="00D16859"/>
    <w:rsid w:val="00D16DF4"/>
    <w:rsid w:val="00D172D3"/>
    <w:rsid w:val="00D1734D"/>
    <w:rsid w:val="00D20107"/>
    <w:rsid w:val="00D20143"/>
    <w:rsid w:val="00D20E7B"/>
    <w:rsid w:val="00D20F07"/>
    <w:rsid w:val="00D21326"/>
    <w:rsid w:val="00D22492"/>
    <w:rsid w:val="00D2312A"/>
    <w:rsid w:val="00D238B9"/>
    <w:rsid w:val="00D23C70"/>
    <w:rsid w:val="00D244C5"/>
    <w:rsid w:val="00D245E9"/>
    <w:rsid w:val="00D2524C"/>
    <w:rsid w:val="00D255F0"/>
    <w:rsid w:val="00D271BB"/>
    <w:rsid w:val="00D31CFD"/>
    <w:rsid w:val="00D322A5"/>
    <w:rsid w:val="00D322DE"/>
    <w:rsid w:val="00D32460"/>
    <w:rsid w:val="00D327F5"/>
    <w:rsid w:val="00D34DD8"/>
    <w:rsid w:val="00D3517D"/>
    <w:rsid w:val="00D354CD"/>
    <w:rsid w:val="00D36B83"/>
    <w:rsid w:val="00D36CCF"/>
    <w:rsid w:val="00D3739E"/>
    <w:rsid w:val="00D408C6"/>
    <w:rsid w:val="00D40D39"/>
    <w:rsid w:val="00D410DE"/>
    <w:rsid w:val="00D4142F"/>
    <w:rsid w:val="00D42228"/>
    <w:rsid w:val="00D4226D"/>
    <w:rsid w:val="00D422CC"/>
    <w:rsid w:val="00D422FC"/>
    <w:rsid w:val="00D462FC"/>
    <w:rsid w:val="00D46480"/>
    <w:rsid w:val="00D502AA"/>
    <w:rsid w:val="00D506BE"/>
    <w:rsid w:val="00D50CD2"/>
    <w:rsid w:val="00D51BAE"/>
    <w:rsid w:val="00D51D75"/>
    <w:rsid w:val="00D52697"/>
    <w:rsid w:val="00D5383D"/>
    <w:rsid w:val="00D539CB"/>
    <w:rsid w:val="00D54261"/>
    <w:rsid w:val="00D54B68"/>
    <w:rsid w:val="00D5726C"/>
    <w:rsid w:val="00D608CB"/>
    <w:rsid w:val="00D61C35"/>
    <w:rsid w:val="00D6237B"/>
    <w:rsid w:val="00D62726"/>
    <w:rsid w:val="00D638F6"/>
    <w:rsid w:val="00D63D55"/>
    <w:rsid w:val="00D6497C"/>
    <w:rsid w:val="00D65236"/>
    <w:rsid w:val="00D677D3"/>
    <w:rsid w:val="00D67AB8"/>
    <w:rsid w:val="00D67BFB"/>
    <w:rsid w:val="00D67CF6"/>
    <w:rsid w:val="00D67EA2"/>
    <w:rsid w:val="00D70E2F"/>
    <w:rsid w:val="00D7126F"/>
    <w:rsid w:val="00D715B1"/>
    <w:rsid w:val="00D72132"/>
    <w:rsid w:val="00D72619"/>
    <w:rsid w:val="00D74953"/>
    <w:rsid w:val="00D75473"/>
    <w:rsid w:val="00D75FB0"/>
    <w:rsid w:val="00D774BC"/>
    <w:rsid w:val="00D77FEC"/>
    <w:rsid w:val="00D807BF"/>
    <w:rsid w:val="00D81269"/>
    <w:rsid w:val="00D81FDD"/>
    <w:rsid w:val="00D82221"/>
    <w:rsid w:val="00D82239"/>
    <w:rsid w:val="00D83214"/>
    <w:rsid w:val="00D8447F"/>
    <w:rsid w:val="00D846C8"/>
    <w:rsid w:val="00D848E4"/>
    <w:rsid w:val="00D84DE6"/>
    <w:rsid w:val="00D8507E"/>
    <w:rsid w:val="00D851C4"/>
    <w:rsid w:val="00D85701"/>
    <w:rsid w:val="00D85990"/>
    <w:rsid w:val="00D860B9"/>
    <w:rsid w:val="00D86170"/>
    <w:rsid w:val="00D87F46"/>
    <w:rsid w:val="00D91B83"/>
    <w:rsid w:val="00D91E76"/>
    <w:rsid w:val="00D943FD"/>
    <w:rsid w:val="00D94CAE"/>
    <w:rsid w:val="00D95621"/>
    <w:rsid w:val="00D9567B"/>
    <w:rsid w:val="00D95A3D"/>
    <w:rsid w:val="00D95D82"/>
    <w:rsid w:val="00D96686"/>
    <w:rsid w:val="00D96CC8"/>
    <w:rsid w:val="00D97607"/>
    <w:rsid w:val="00D9764C"/>
    <w:rsid w:val="00D97EFB"/>
    <w:rsid w:val="00D97FB4"/>
    <w:rsid w:val="00DA0EB9"/>
    <w:rsid w:val="00DA12B6"/>
    <w:rsid w:val="00DA12CC"/>
    <w:rsid w:val="00DA18C5"/>
    <w:rsid w:val="00DA1916"/>
    <w:rsid w:val="00DA226B"/>
    <w:rsid w:val="00DA4113"/>
    <w:rsid w:val="00DA4430"/>
    <w:rsid w:val="00DA5B2A"/>
    <w:rsid w:val="00DA5CB5"/>
    <w:rsid w:val="00DA5D9A"/>
    <w:rsid w:val="00DA64AA"/>
    <w:rsid w:val="00DA6766"/>
    <w:rsid w:val="00DA6A30"/>
    <w:rsid w:val="00DA7091"/>
    <w:rsid w:val="00DA72E2"/>
    <w:rsid w:val="00DA7E7F"/>
    <w:rsid w:val="00DB0D06"/>
    <w:rsid w:val="00DB1304"/>
    <w:rsid w:val="00DB1760"/>
    <w:rsid w:val="00DB2B00"/>
    <w:rsid w:val="00DB32A6"/>
    <w:rsid w:val="00DB4F61"/>
    <w:rsid w:val="00DB56F3"/>
    <w:rsid w:val="00DB5EBA"/>
    <w:rsid w:val="00DB61E6"/>
    <w:rsid w:val="00DB78D5"/>
    <w:rsid w:val="00DB7B96"/>
    <w:rsid w:val="00DC017C"/>
    <w:rsid w:val="00DC08A2"/>
    <w:rsid w:val="00DC3591"/>
    <w:rsid w:val="00DC3CF0"/>
    <w:rsid w:val="00DC3E0D"/>
    <w:rsid w:val="00DC43D1"/>
    <w:rsid w:val="00DC4AC7"/>
    <w:rsid w:val="00DC4D3F"/>
    <w:rsid w:val="00DC5DE0"/>
    <w:rsid w:val="00DC5FCA"/>
    <w:rsid w:val="00DC731F"/>
    <w:rsid w:val="00DC7A35"/>
    <w:rsid w:val="00DD031F"/>
    <w:rsid w:val="00DD06B1"/>
    <w:rsid w:val="00DD0F66"/>
    <w:rsid w:val="00DD0FAA"/>
    <w:rsid w:val="00DD2742"/>
    <w:rsid w:val="00DD6178"/>
    <w:rsid w:val="00DD6B99"/>
    <w:rsid w:val="00DD6F14"/>
    <w:rsid w:val="00DE11DD"/>
    <w:rsid w:val="00DE226A"/>
    <w:rsid w:val="00DE28C9"/>
    <w:rsid w:val="00DE3E88"/>
    <w:rsid w:val="00DE48EA"/>
    <w:rsid w:val="00DE4DC1"/>
    <w:rsid w:val="00DE4E9B"/>
    <w:rsid w:val="00DE4EDB"/>
    <w:rsid w:val="00DE7107"/>
    <w:rsid w:val="00DE769A"/>
    <w:rsid w:val="00DF041F"/>
    <w:rsid w:val="00DF145F"/>
    <w:rsid w:val="00DF176F"/>
    <w:rsid w:val="00DF1C8A"/>
    <w:rsid w:val="00DF24EB"/>
    <w:rsid w:val="00DF3C8E"/>
    <w:rsid w:val="00DF45FA"/>
    <w:rsid w:val="00DF76D9"/>
    <w:rsid w:val="00DF7A6C"/>
    <w:rsid w:val="00DF7DF3"/>
    <w:rsid w:val="00E00298"/>
    <w:rsid w:val="00E003BD"/>
    <w:rsid w:val="00E00ABF"/>
    <w:rsid w:val="00E012E9"/>
    <w:rsid w:val="00E01A56"/>
    <w:rsid w:val="00E0340D"/>
    <w:rsid w:val="00E03DF9"/>
    <w:rsid w:val="00E045CB"/>
    <w:rsid w:val="00E06A06"/>
    <w:rsid w:val="00E06BBD"/>
    <w:rsid w:val="00E10586"/>
    <w:rsid w:val="00E123F5"/>
    <w:rsid w:val="00E12A9F"/>
    <w:rsid w:val="00E13A82"/>
    <w:rsid w:val="00E13AA3"/>
    <w:rsid w:val="00E13F88"/>
    <w:rsid w:val="00E15B03"/>
    <w:rsid w:val="00E16211"/>
    <w:rsid w:val="00E16981"/>
    <w:rsid w:val="00E172F2"/>
    <w:rsid w:val="00E179A3"/>
    <w:rsid w:val="00E17BB0"/>
    <w:rsid w:val="00E20B8E"/>
    <w:rsid w:val="00E20C3D"/>
    <w:rsid w:val="00E21FBE"/>
    <w:rsid w:val="00E2218D"/>
    <w:rsid w:val="00E222CD"/>
    <w:rsid w:val="00E22E26"/>
    <w:rsid w:val="00E23469"/>
    <w:rsid w:val="00E238F9"/>
    <w:rsid w:val="00E23B97"/>
    <w:rsid w:val="00E24824"/>
    <w:rsid w:val="00E24C88"/>
    <w:rsid w:val="00E250C5"/>
    <w:rsid w:val="00E25EE3"/>
    <w:rsid w:val="00E26002"/>
    <w:rsid w:val="00E26214"/>
    <w:rsid w:val="00E266ED"/>
    <w:rsid w:val="00E267F0"/>
    <w:rsid w:val="00E27B2F"/>
    <w:rsid w:val="00E3054F"/>
    <w:rsid w:val="00E30986"/>
    <w:rsid w:val="00E31572"/>
    <w:rsid w:val="00E31E1B"/>
    <w:rsid w:val="00E33E53"/>
    <w:rsid w:val="00E351D1"/>
    <w:rsid w:val="00E35A1B"/>
    <w:rsid w:val="00E35D08"/>
    <w:rsid w:val="00E36215"/>
    <w:rsid w:val="00E40832"/>
    <w:rsid w:val="00E417B0"/>
    <w:rsid w:val="00E418AF"/>
    <w:rsid w:val="00E42C57"/>
    <w:rsid w:val="00E43A0F"/>
    <w:rsid w:val="00E43CE1"/>
    <w:rsid w:val="00E43D4A"/>
    <w:rsid w:val="00E43F37"/>
    <w:rsid w:val="00E440C5"/>
    <w:rsid w:val="00E44204"/>
    <w:rsid w:val="00E44A5B"/>
    <w:rsid w:val="00E450A5"/>
    <w:rsid w:val="00E45DC5"/>
    <w:rsid w:val="00E4641B"/>
    <w:rsid w:val="00E470EC"/>
    <w:rsid w:val="00E4719F"/>
    <w:rsid w:val="00E50241"/>
    <w:rsid w:val="00E50A09"/>
    <w:rsid w:val="00E50E23"/>
    <w:rsid w:val="00E515DA"/>
    <w:rsid w:val="00E52085"/>
    <w:rsid w:val="00E524C9"/>
    <w:rsid w:val="00E52740"/>
    <w:rsid w:val="00E53D3D"/>
    <w:rsid w:val="00E5418F"/>
    <w:rsid w:val="00E54374"/>
    <w:rsid w:val="00E5573A"/>
    <w:rsid w:val="00E5719F"/>
    <w:rsid w:val="00E57A87"/>
    <w:rsid w:val="00E57BC2"/>
    <w:rsid w:val="00E6073E"/>
    <w:rsid w:val="00E60B95"/>
    <w:rsid w:val="00E6233F"/>
    <w:rsid w:val="00E628FE"/>
    <w:rsid w:val="00E62E5E"/>
    <w:rsid w:val="00E6321D"/>
    <w:rsid w:val="00E63DAD"/>
    <w:rsid w:val="00E6445D"/>
    <w:rsid w:val="00E644CE"/>
    <w:rsid w:val="00E65B29"/>
    <w:rsid w:val="00E66A2D"/>
    <w:rsid w:val="00E66B36"/>
    <w:rsid w:val="00E700B3"/>
    <w:rsid w:val="00E703B7"/>
    <w:rsid w:val="00E71041"/>
    <w:rsid w:val="00E713ED"/>
    <w:rsid w:val="00E71A60"/>
    <w:rsid w:val="00E71F91"/>
    <w:rsid w:val="00E72F69"/>
    <w:rsid w:val="00E72F80"/>
    <w:rsid w:val="00E74A28"/>
    <w:rsid w:val="00E7568D"/>
    <w:rsid w:val="00E75CED"/>
    <w:rsid w:val="00E75D9D"/>
    <w:rsid w:val="00E76970"/>
    <w:rsid w:val="00E80F4D"/>
    <w:rsid w:val="00E81736"/>
    <w:rsid w:val="00E82D29"/>
    <w:rsid w:val="00E8341E"/>
    <w:rsid w:val="00E8348F"/>
    <w:rsid w:val="00E835A5"/>
    <w:rsid w:val="00E8386D"/>
    <w:rsid w:val="00E8549D"/>
    <w:rsid w:val="00E855B8"/>
    <w:rsid w:val="00E860EF"/>
    <w:rsid w:val="00E86503"/>
    <w:rsid w:val="00E873E5"/>
    <w:rsid w:val="00E87B4E"/>
    <w:rsid w:val="00E90355"/>
    <w:rsid w:val="00E9205E"/>
    <w:rsid w:val="00E920C6"/>
    <w:rsid w:val="00E9365D"/>
    <w:rsid w:val="00E947E7"/>
    <w:rsid w:val="00E954E4"/>
    <w:rsid w:val="00E9592D"/>
    <w:rsid w:val="00E97CDA"/>
    <w:rsid w:val="00E97F2A"/>
    <w:rsid w:val="00EA01BD"/>
    <w:rsid w:val="00EA0878"/>
    <w:rsid w:val="00EA0C2C"/>
    <w:rsid w:val="00EA0FDD"/>
    <w:rsid w:val="00EA132E"/>
    <w:rsid w:val="00EA1D22"/>
    <w:rsid w:val="00EA2938"/>
    <w:rsid w:val="00EA294A"/>
    <w:rsid w:val="00EA2D19"/>
    <w:rsid w:val="00EA402C"/>
    <w:rsid w:val="00EA4144"/>
    <w:rsid w:val="00EA4783"/>
    <w:rsid w:val="00EA5552"/>
    <w:rsid w:val="00EA64E3"/>
    <w:rsid w:val="00EB0A9C"/>
    <w:rsid w:val="00EB173A"/>
    <w:rsid w:val="00EB27E0"/>
    <w:rsid w:val="00EB2BCD"/>
    <w:rsid w:val="00EB3014"/>
    <w:rsid w:val="00EB31D2"/>
    <w:rsid w:val="00EB329E"/>
    <w:rsid w:val="00EB3673"/>
    <w:rsid w:val="00EB4C12"/>
    <w:rsid w:val="00EB4C65"/>
    <w:rsid w:val="00EB4D07"/>
    <w:rsid w:val="00EB50C8"/>
    <w:rsid w:val="00EB5311"/>
    <w:rsid w:val="00EB54DA"/>
    <w:rsid w:val="00EB606A"/>
    <w:rsid w:val="00EB6081"/>
    <w:rsid w:val="00EB6D7B"/>
    <w:rsid w:val="00EB754A"/>
    <w:rsid w:val="00EB7711"/>
    <w:rsid w:val="00EB7774"/>
    <w:rsid w:val="00EB7A4A"/>
    <w:rsid w:val="00EC0249"/>
    <w:rsid w:val="00EC094A"/>
    <w:rsid w:val="00EC1078"/>
    <w:rsid w:val="00EC1E15"/>
    <w:rsid w:val="00EC2127"/>
    <w:rsid w:val="00EC307E"/>
    <w:rsid w:val="00EC3C3E"/>
    <w:rsid w:val="00EC3DA7"/>
    <w:rsid w:val="00EC4226"/>
    <w:rsid w:val="00EC4936"/>
    <w:rsid w:val="00EC5F6E"/>
    <w:rsid w:val="00EC658D"/>
    <w:rsid w:val="00EC6EDB"/>
    <w:rsid w:val="00EC7A59"/>
    <w:rsid w:val="00ED08B4"/>
    <w:rsid w:val="00ED1B61"/>
    <w:rsid w:val="00ED3B79"/>
    <w:rsid w:val="00ED3BB9"/>
    <w:rsid w:val="00ED3DDF"/>
    <w:rsid w:val="00ED3E73"/>
    <w:rsid w:val="00ED45AD"/>
    <w:rsid w:val="00ED49E7"/>
    <w:rsid w:val="00ED5B8E"/>
    <w:rsid w:val="00ED6224"/>
    <w:rsid w:val="00ED673F"/>
    <w:rsid w:val="00ED693B"/>
    <w:rsid w:val="00ED721D"/>
    <w:rsid w:val="00ED745B"/>
    <w:rsid w:val="00ED7BAF"/>
    <w:rsid w:val="00EE09CE"/>
    <w:rsid w:val="00EE0FF2"/>
    <w:rsid w:val="00EE30EF"/>
    <w:rsid w:val="00EE3583"/>
    <w:rsid w:val="00EE40FC"/>
    <w:rsid w:val="00EE6485"/>
    <w:rsid w:val="00EE6B38"/>
    <w:rsid w:val="00EF021A"/>
    <w:rsid w:val="00EF0431"/>
    <w:rsid w:val="00EF0A77"/>
    <w:rsid w:val="00EF1938"/>
    <w:rsid w:val="00EF1ACA"/>
    <w:rsid w:val="00EF5F54"/>
    <w:rsid w:val="00EF6300"/>
    <w:rsid w:val="00EF6A32"/>
    <w:rsid w:val="00EF6C79"/>
    <w:rsid w:val="00EF6FC0"/>
    <w:rsid w:val="00EF7ED5"/>
    <w:rsid w:val="00F00557"/>
    <w:rsid w:val="00F0088D"/>
    <w:rsid w:val="00F017C7"/>
    <w:rsid w:val="00F01E5C"/>
    <w:rsid w:val="00F02035"/>
    <w:rsid w:val="00F02AAC"/>
    <w:rsid w:val="00F02BCB"/>
    <w:rsid w:val="00F02F83"/>
    <w:rsid w:val="00F030A4"/>
    <w:rsid w:val="00F035D8"/>
    <w:rsid w:val="00F03640"/>
    <w:rsid w:val="00F04754"/>
    <w:rsid w:val="00F047D6"/>
    <w:rsid w:val="00F0589E"/>
    <w:rsid w:val="00F059E0"/>
    <w:rsid w:val="00F06283"/>
    <w:rsid w:val="00F062E2"/>
    <w:rsid w:val="00F0670D"/>
    <w:rsid w:val="00F07D2C"/>
    <w:rsid w:val="00F10B89"/>
    <w:rsid w:val="00F11A1F"/>
    <w:rsid w:val="00F12E10"/>
    <w:rsid w:val="00F130A6"/>
    <w:rsid w:val="00F137A0"/>
    <w:rsid w:val="00F137C2"/>
    <w:rsid w:val="00F13884"/>
    <w:rsid w:val="00F15009"/>
    <w:rsid w:val="00F15827"/>
    <w:rsid w:val="00F15FFD"/>
    <w:rsid w:val="00F1668D"/>
    <w:rsid w:val="00F17D4A"/>
    <w:rsid w:val="00F2000C"/>
    <w:rsid w:val="00F20540"/>
    <w:rsid w:val="00F206F3"/>
    <w:rsid w:val="00F2092B"/>
    <w:rsid w:val="00F20CCC"/>
    <w:rsid w:val="00F22308"/>
    <w:rsid w:val="00F230F4"/>
    <w:rsid w:val="00F232B8"/>
    <w:rsid w:val="00F243E7"/>
    <w:rsid w:val="00F25354"/>
    <w:rsid w:val="00F25675"/>
    <w:rsid w:val="00F26803"/>
    <w:rsid w:val="00F26DAE"/>
    <w:rsid w:val="00F31ECA"/>
    <w:rsid w:val="00F33173"/>
    <w:rsid w:val="00F3534D"/>
    <w:rsid w:val="00F35AE9"/>
    <w:rsid w:val="00F3604A"/>
    <w:rsid w:val="00F36EDC"/>
    <w:rsid w:val="00F37540"/>
    <w:rsid w:val="00F42F6E"/>
    <w:rsid w:val="00F4304A"/>
    <w:rsid w:val="00F4321C"/>
    <w:rsid w:val="00F437A3"/>
    <w:rsid w:val="00F43EFA"/>
    <w:rsid w:val="00F441D0"/>
    <w:rsid w:val="00F45375"/>
    <w:rsid w:val="00F46527"/>
    <w:rsid w:val="00F47989"/>
    <w:rsid w:val="00F50DD7"/>
    <w:rsid w:val="00F513F3"/>
    <w:rsid w:val="00F51939"/>
    <w:rsid w:val="00F51DC0"/>
    <w:rsid w:val="00F51E04"/>
    <w:rsid w:val="00F51E4A"/>
    <w:rsid w:val="00F525FB"/>
    <w:rsid w:val="00F5398B"/>
    <w:rsid w:val="00F53CC2"/>
    <w:rsid w:val="00F53D73"/>
    <w:rsid w:val="00F54A16"/>
    <w:rsid w:val="00F563B6"/>
    <w:rsid w:val="00F56BA0"/>
    <w:rsid w:val="00F56DAD"/>
    <w:rsid w:val="00F57516"/>
    <w:rsid w:val="00F5770B"/>
    <w:rsid w:val="00F57879"/>
    <w:rsid w:val="00F579EA"/>
    <w:rsid w:val="00F607C4"/>
    <w:rsid w:val="00F629AC"/>
    <w:rsid w:val="00F636A2"/>
    <w:rsid w:val="00F63C28"/>
    <w:rsid w:val="00F64533"/>
    <w:rsid w:val="00F648FB"/>
    <w:rsid w:val="00F655C4"/>
    <w:rsid w:val="00F657B1"/>
    <w:rsid w:val="00F65D3A"/>
    <w:rsid w:val="00F65EDB"/>
    <w:rsid w:val="00F669A5"/>
    <w:rsid w:val="00F66CFB"/>
    <w:rsid w:val="00F67272"/>
    <w:rsid w:val="00F674CB"/>
    <w:rsid w:val="00F70E19"/>
    <w:rsid w:val="00F70E6D"/>
    <w:rsid w:val="00F720F2"/>
    <w:rsid w:val="00F72F5C"/>
    <w:rsid w:val="00F72FFB"/>
    <w:rsid w:val="00F73736"/>
    <w:rsid w:val="00F73977"/>
    <w:rsid w:val="00F75961"/>
    <w:rsid w:val="00F75A9C"/>
    <w:rsid w:val="00F75BDB"/>
    <w:rsid w:val="00F763F7"/>
    <w:rsid w:val="00F77222"/>
    <w:rsid w:val="00F77242"/>
    <w:rsid w:val="00F77999"/>
    <w:rsid w:val="00F77E34"/>
    <w:rsid w:val="00F806D2"/>
    <w:rsid w:val="00F818AB"/>
    <w:rsid w:val="00F82A5A"/>
    <w:rsid w:val="00F8344E"/>
    <w:rsid w:val="00F83882"/>
    <w:rsid w:val="00F8440C"/>
    <w:rsid w:val="00F85ABC"/>
    <w:rsid w:val="00F86450"/>
    <w:rsid w:val="00F869DB"/>
    <w:rsid w:val="00F87DEF"/>
    <w:rsid w:val="00F87EA2"/>
    <w:rsid w:val="00F911FC"/>
    <w:rsid w:val="00F9269E"/>
    <w:rsid w:val="00F92D63"/>
    <w:rsid w:val="00F93057"/>
    <w:rsid w:val="00F93292"/>
    <w:rsid w:val="00F935D8"/>
    <w:rsid w:val="00F939FA"/>
    <w:rsid w:val="00F940B7"/>
    <w:rsid w:val="00F94FAC"/>
    <w:rsid w:val="00F95082"/>
    <w:rsid w:val="00F950F6"/>
    <w:rsid w:val="00F95164"/>
    <w:rsid w:val="00F95633"/>
    <w:rsid w:val="00F96415"/>
    <w:rsid w:val="00F968E0"/>
    <w:rsid w:val="00F96BFB"/>
    <w:rsid w:val="00FA0922"/>
    <w:rsid w:val="00FA1D0A"/>
    <w:rsid w:val="00FA301E"/>
    <w:rsid w:val="00FA31D5"/>
    <w:rsid w:val="00FA3765"/>
    <w:rsid w:val="00FA3C95"/>
    <w:rsid w:val="00FA3E18"/>
    <w:rsid w:val="00FA416F"/>
    <w:rsid w:val="00FA5162"/>
    <w:rsid w:val="00FA5C44"/>
    <w:rsid w:val="00FA5C53"/>
    <w:rsid w:val="00FB0B9D"/>
    <w:rsid w:val="00FB2790"/>
    <w:rsid w:val="00FB27D2"/>
    <w:rsid w:val="00FB2BA5"/>
    <w:rsid w:val="00FB2DB8"/>
    <w:rsid w:val="00FB3E66"/>
    <w:rsid w:val="00FB42A6"/>
    <w:rsid w:val="00FB4673"/>
    <w:rsid w:val="00FB4DF6"/>
    <w:rsid w:val="00FB5B23"/>
    <w:rsid w:val="00FB6363"/>
    <w:rsid w:val="00FC2776"/>
    <w:rsid w:val="00FC2A3A"/>
    <w:rsid w:val="00FC3F9B"/>
    <w:rsid w:val="00FC4BE8"/>
    <w:rsid w:val="00FC4DA8"/>
    <w:rsid w:val="00FC5A5F"/>
    <w:rsid w:val="00FC746C"/>
    <w:rsid w:val="00FC7735"/>
    <w:rsid w:val="00FD06B4"/>
    <w:rsid w:val="00FD0C56"/>
    <w:rsid w:val="00FD1C4F"/>
    <w:rsid w:val="00FD263B"/>
    <w:rsid w:val="00FD3034"/>
    <w:rsid w:val="00FD50F9"/>
    <w:rsid w:val="00FD5DEF"/>
    <w:rsid w:val="00FD5F7D"/>
    <w:rsid w:val="00FE0B9F"/>
    <w:rsid w:val="00FE0CB4"/>
    <w:rsid w:val="00FE14F7"/>
    <w:rsid w:val="00FE21A5"/>
    <w:rsid w:val="00FE25D2"/>
    <w:rsid w:val="00FE277F"/>
    <w:rsid w:val="00FE2B60"/>
    <w:rsid w:val="00FE3134"/>
    <w:rsid w:val="00FE3A4B"/>
    <w:rsid w:val="00FE3F82"/>
    <w:rsid w:val="00FE4275"/>
    <w:rsid w:val="00FE431F"/>
    <w:rsid w:val="00FE6BD6"/>
    <w:rsid w:val="00FE74C3"/>
    <w:rsid w:val="00FE7746"/>
    <w:rsid w:val="00FE79D6"/>
    <w:rsid w:val="00FF00D1"/>
    <w:rsid w:val="00FF1132"/>
    <w:rsid w:val="00FF140A"/>
    <w:rsid w:val="00FF1EC0"/>
    <w:rsid w:val="00FF21F0"/>
    <w:rsid w:val="00FF2242"/>
    <w:rsid w:val="00FF2581"/>
    <w:rsid w:val="00FF314A"/>
    <w:rsid w:val="00FF3343"/>
    <w:rsid w:val="00FF34A0"/>
    <w:rsid w:val="00FF35E5"/>
    <w:rsid w:val="00FF368C"/>
    <w:rsid w:val="00FF389F"/>
    <w:rsid w:val="00FF39D6"/>
    <w:rsid w:val="00FF4156"/>
    <w:rsid w:val="00FF4367"/>
    <w:rsid w:val="00FF54D3"/>
    <w:rsid w:val="00FF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122C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C6118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B2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238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A4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ps">
    <w:name w:val="hps"/>
    <w:basedOn w:val="a0"/>
    <w:rsid w:val="00940277"/>
  </w:style>
  <w:style w:type="paragraph" w:customStyle="1" w:styleId="a8">
    <w:name w:val="a"/>
    <w:basedOn w:val="a"/>
    <w:rsid w:val="00A11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ga1on">
    <w:name w:val="_ga1_on_"/>
    <w:basedOn w:val="a0"/>
    <w:rsid w:val="00C96393"/>
  </w:style>
  <w:style w:type="paragraph" w:styleId="a9">
    <w:name w:val="List Paragraph"/>
    <w:basedOn w:val="a"/>
    <w:uiPriority w:val="34"/>
    <w:qFormat/>
    <w:rsid w:val="00B10A75"/>
    <w:pPr>
      <w:ind w:left="720"/>
      <w:contextualSpacing/>
    </w:pPr>
  </w:style>
  <w:style w:type="character" w:customStyle="1" w:styleId="apple-converted-space">
    <w:name w:val="apple-converted-space"/>
    <w:rsid w:val="001009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122C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C6118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B2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238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A4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ps">
    <w:name w:val="hps"/>
    <w:basedOn w:val="a0"/>
    <w:rsid w:val="00940277"/>
  </w:style>
  <w:style w:type="paragraph" w:customStyle="1" w:styleId="a8">
    <w:name w:val="a"/>
    <w:basedOn w:val="a"/>
    <w:rsid w:val="00A11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ga1on">
    <w:name w:val="_ga1_on_"/>
    <w:basedOn w:val="a0"/>
    <w:rsid w:val="00C96393"/>
  </w:style>
  <w:style w:type="paragraph" w:styleId="a9">
    <w:name w:val="List Paragraph"/>
    <w:basedOn w:val="a"/>
    <w:uiPriority w:val="34"/>
    <w:qFormat/>
    <w:rsid w:val="00B10A75"/>
    <w:pPr>
      <w:ind w:left="720"/>
      <w:contextualSpacing/>
    </w:pPr>
  </w:style>
  <w:style w:type="character" w:customStyle="1" w:styleId="apple-converted-space">
    <w:name w:val="apple-converted-space"/>
    <w:rsid w:val="00100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8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06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8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1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wttc.org/eng/Home/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1.&#1048;&#1053;&#1057;&#1058;&#1048;&#1058;&#1059;&#1058;%20&#1052;&#1045;&#1046;&#1044;&#1059;&#1053;&#1040;&#1056;&#1054;&#1044;&#1053;&#1067;&#1061;%20&#1054;&#1058;&#1053;&#1054;&#1064;&#1045;&#1053;&#1048;\&#1055;&#1059;&#1041;&#1051;&#1048;&#1050;&#1040;&#1062;&#1048;&#1048;\&#1055;&#1080;&#1096;&#1091;\&#1042;%20&#1030;&#1052;&#1042;-2015%20&#1082;&#1074;&#1110;&#1090;&#1077;&#1085;&#1100;\&#1059;&#1082;&#1088;&#1072;&#1111;&#1085;&#1072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1.&#1048;&#1053;&#1057;&#1058;&#1048;&#1058;&#1059;&#1058;%20&#1052;&#1045;&#1046;&#1044;&#1059;&#1053;&#1040;&#1056;&#1054;&#1044;&#1053;&#1067;&#1061;%20&#1054;&#1058;&#1053;&#1054;&#1064;&#1045;&#1053;&#1048;\&#1055;&#1059;&#1041;&#1051;&#1048;&#1050;&#1040;&#1062;&#1048;&#1048;\&#1055;&#1080;&#1096;&#1091;\&#1042;%20&#1030;&#1052;&#1042;-2015%20&#1082;&#1074;&#1110;&#1090;&#1077;&#1085;&#1100;\&#1059;&#1082;&#1088;&#1072;&#1111;&#1085;&#1072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1.&#1048;&#1053;&#1057;&#1058;&#1048;&#1058;&#1059;&#1058;%20&#1052;&#1045;&#1046;&#1044;&#1059;&#1053;&#1040;&#1056;&#1054;&#1044;&#1053;&#1067;&#1061;%20&#1054;&#1058;&#1053;&#1054;&#1064;&#1045;&#1053;&#1048;\&#1055;&#1059;&#1041;&#1051;&#1048;&#1050;&#1040;&#1062;&#1048;&#1048;\&#1055;&#1080;&#1096;&#1091;\&#1042;%20&#1030;&#1052;&#1042;-2015%20&#1082;&#1074;&#1110;&#1090;&#1077;&#1085;&#1100;\&#1059;&#1082;&#1088;&#1072;&#1111;&#1085;&#1072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1.&#1048;&#1053;&#1057;&#1058;&#1048;&#1058;&#1059;&#1058;%20&#1052;&#1045;&#1046;&#1044;&#1059;&#1053;&#1040;&#1056;&#1054;&#1044;&#1053;&#1067;&#1061;%20&#1054;&#1058;&#1053;&#1054;&#1064;&#1045;&#1053;&#1048;\&#1055;&#1059;&#1041;&#1051;&#1048;&#1050;&#1040;&#1062;&#1048;&#1048;\&#1055;&#1080;&#1096;&#1091;\&#1042;%20&#1030;&#1052;&#1042;-2015%20&#1082;&#1074;&#1110;&#1090;&#1077;&#1085;&#1100;\&#1059;&#1082;&#1088;&#1072;&#1111;&#1085;&#1072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32"/>
    </mc:Choice>
    <mc:Fallback>
      <c:style val="3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740632456569643E-2"/>
          <c:y val="2.3158140663329947E-2"/>
          <c:w val="0.91573883329636663"/>
          <c:h val="0.88211740814290973"/>
        </c:manualLayout>
      </c:layout>
      <c:barChart>
        <c:barDir val="col"/>
        <c:grouping val="clustered"/>
        <c:varyColors val="0"/>
        <c:ser>
          <c:idx val="1"/>
          <c:order val="0"/>
          <c:spPr>
            <a:solidFill>
              <a:srgbClr val="00B050"/>
            </a:solidFill>
            <a:ln>
              <a:solidFill>
                <a:sysClr val="windowText" lastClr="000000"/>
              </a:solidFill>
            </a:ln>
          </c:spPr>
          <c:invertIfNegative val="0"/>
          <c:cat>
            <c:numRef>
              <c:f>'Т.п. від ІТ'!$B$44:$V$44</c:f>
              <c:numCache>
                <c:formatCode>General</c:formatCode>
                <c:ptCount val="21"/>
                <c:pt idx="0">
                  <c:v>1994</c:v>
                </c:pt>
                <c:pt idx="1">
                  <c:v>1995</c:v>
                </c:pt>
                <c:pt idx="2">
                  <c:v>1996</c:v>
                </c:pt>
                <c:pt idx="3">
                  <c:v>1997</c:v>
                </c:pt>
                <c:pt idx="4">
                  <c:v>1998</c:v>
                </c:pt>
                <c:pt idx="5">
                  <c:v>1999</c:v>
                </c:pt>
                <c:pt idx="6">
                  <c:v>2000</c:v>
                </c:pt>
                <c:pt idx="7">
                  <c:v>2001</c:v>
                </c:pt>
                <c:pt idx="8">
                  <c:v>2002</c:v>
                </c:pt>
                <c:pt idx="9">
                  <c:v>2003</c:v>
                </c:pt>
                <c:pt idx="10">
                  <c:v>2004</c:v>
                </c:pt>
                <c:pt idx="11">
                  <c:v>2005</c:v>
                </c:pt>
                <c:pt idx="12">
                  <c:v>2006</c:v>
                </c:pt>
                <c:pt idx="13">
                  <c:v>2007</c:v>
                </c:pt>
                <c:pt idx="14">
                  <c:v>2008</c:v>
                </c:pt>
                <c:pt idx="15">
                  <c:v>2009</c:v>
                </c:pt>
                <c:pt idx="16">
                  <c:v>2010</c:v>
                </c:pt>
                <c:pt idx="17">
                  <c:v>2011</c:v>
                </c:pt>
                <c:pt idx="18">
                  <c:v>2012</c:v>
                </c:pt>
                <c:pt idx="19">
                  <c:v>2013</c:v>
                </c:pt>
                <c:pt idx="20">
                  <c:v>2014</c:v>
                </c:pt>
              </c:numCache>
            </c:numRef>
          </c:cat>
          <c:val>
            <c:numRef>
              <c:f>'Т.п. від ІТ'!$B$45:$V$45</c:f>
              <c:numCache>
                <c:formatCode>0.0</c:formatCode>
                <c:ptCount val="21"/>
                <c:pt idx="0">
                  <c:v>12.465999999999999</c:v>
                </c:pt>
                <c:pt idx="1">
                  <c:v>11.616</c:v>
                </c:pt>
                <c:pt idx="2">
                  <c:v>5.7729999999999997</c:v>
                </c:pt>
                <c:pt idx="3">
                  <c:v>5.6280000000000001</c:v>
                </c:pt>
                <c:pt idx="4">
                  <c:v>4.9630000000000001</c:v>
                </c:pt>
                <c:pt idx="5">
                  <c:v>5.0199999999999996</c:v>
                </c:pt>
                <c:pt idx="6">
                  <c:v>6.1509999999999998</c:v>
                </c:pt>
                <c:pt idx="7">
                  <c:v>6.5819999999999999</c:v>
                </c:pt>
                <c:pt idx="8">
                  <c:v>6.84</c:v>
                </c:pt>
                <c:pt idx="9">
                  <c:v>7.6079999999999997</c:v>
                </c:pt>
                <c:pt idx="10">
                  <c:v>11.083</c:v>
                </c:pt>
                <c:pt idx="11">
                  <c:v>10.797000000000001</c:v>
                </c:pt>
                <c:pt idx="12">
                  <c:v>11.27</c:v>
                </c:pt>
                <c:pt idx="13">
                  <c:v>11.895</c:v>
                </c:pt>
                <c:pt idx="14">
                  <c:v>11.788</c:v>
                </c:pt>
                <c:pt idx="15">
                  <c:v>10.634</c:v>
                </c:pt>
                <c:pt idx="16">
                  <c:v>10.039999999999999</c:v>
                </c:pt>
                <c:pt idx="17">
                  <c:v>10.474</c:v>
                </c:pt>
                <c:pt idx="18">
                  <c:v>10.608000000000001</c:v>
                </c:pt>
                <c:pt idx="19">
                  <c:v>11.148</c:v>
                </c:pt>
                <c:pt idx="20">
                  <c:v>9.1189999999999998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1248128"/>
        <c:axId val="111249664"/>
      </c:barChart>
      <c:catAx>
        <c:axId val="111248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1249664"/>
        <c:crosses val="autoZero"/>
        <c:auto val="1"/>
        <c:lblAlgn val="ctr"/>
        <c:lblOffset val="100"/>
        <c:noMultiLvlLbl val="0"/>
      </c:catAx>
      <c:valAx>
        <c:axId val="111249664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11124812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uk-UA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0710744490272046E-2"/>
          <c:y val="4.2846199216199157E-2"/>
          <c:w val="0.89600883222930472"/>
          <c:h val="0.72739010838207574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'Валов.тур.продукт України'!$A$36</c:f>
              <c:strCache>
                <c:ptCount val="1"/>
                <c:pt idx="0">
                  <c:v>Доходи від іноземного туризму</c:v>
                </c:pt>
              </c:strCache>
            </c:strRef>
          </c:tx>
          <c:invertIfNegative val="0"/>
          <c:cat>
            <c:numRef>
              <c:f>'Валов.тур.продукт України'!$B$33:$V$33</c:f>
              <c:numCache>
                <c:formatCode>General</c:formatCode>
                <c:ptCount val="21"/>
                <c:pt idx="0">
                  <c:v>1994</c:v>
                </c:pt>
                <c:pt idx="1">
                  <c:v>1995</c:v>
                </c:pt>
                <c:pt idx="2">
                  <c:v>1996</c:v>
                </c:pt>
                <c:pt idx="3">
                  <c:v>1997</c:v>
                </c:pt>
                <c:pt idx="4">
                  <c:v>1998</c:v>
                </c:pt>
                <c:pt idx="5">
                  <c:v>1999</c:v>
                </c:pt>
                <c:pt idx="6">
                  <c:v>2000</c:v>
                </c:pt>
                <c:pt idx="7">
                  <c:v>2001</c:v>
                </c:pt>
                <c:pt idx="8">
                  <c:v>2002</c:v>
                </c:pt>
                <c:pt idx="9">
                  <c:v>2003</c:v>
                </c:pt>
                <c:pt idx="10">
                  <c:v>2004</c:v>
                </c:pt>
                <c:pt idx="11">
                  <c:v>2005</c:v>
                </c:pt>
                <c:pt idx="12">
                  <c:v>2006</c:v>
                </c:pt>
                <c:pt idx="13">
                  <c:v>2007</c:v>
                </c:pt>
                <c:pt idx="14">
                  <c:v>2008</c:v>
                </c:pt>
                <c:pt idx="15">
                  <c:v>2009</c:v>
                </c:pt>
                <c:pt idx="16">
                  <c:v>2010</c:v>
                </c:pt>
                <c:pt idx="17">
                  <c:v>2011</c:v>
                </c:pt>
                <c:pt idx="18">
                  <c:v>2012</c:v>
                </c:pt>
                <c:pt idx="19">
                  <c:v>2013</c:v>
                </c:pt>
                <c:pt idx="20">
                  <c:v>2014</c:v>
                </c:pt>
              </c:numCache>
            </c:numRef>
          </c:cat>
          <c:val>
            <c:numRef>
              <c:f>'Валов.тур.продукт України'!$B$36:$V$36</c:f>
              <c:numCache>
                <c:formatCode>General</c:formatCode>
                <c:ptCount val="21"/>
                <c:pt idx="0">
                  <c:v>0.49299999999999999</c:v>
                </c:pt>
                <c:pt idx="1">
                  <c:v>0.47799999999999998</c:v>
                </c:pt>
                <c:pt idx="2">
                  <c:v>0.83599999999999997</c:v>
                </c:pt>
                <c:pt idx="3">
                  <c:v>0.76500000000000001</c:v>
                </c:pt>
                <c:pt idx="4">
                  <c:v>1.014</c:v>
                </c:pt>
                <c:pt idx="5">
                  <c:v>1.248</c:v>
                </c:pt>
                <c:pt idx="6">
                  <c:v>1.4910000000000001</c:v>
                </c:pt>
                <c:pt idx="7">
                  <c:v>1.7989999999999999</c:v>
                </c:pt>
                <c:pt idx="8">
                  <c:v>2.2349999999999999</c:v>
                </c:pt>
                <c:pt idx="9">
                  <c:v>2.4910000000000001</c:v>
                </c:pt>
                <c:pt idx="10">
                  <c:v>5.2249999999999996</c:v>
                </c:pt>
                <c:pt idx="11">
                  <c:v>4.8959999999999999</c:v>
                </c:pt>
                <c:pt idx="12">
                  <c:v>4.7750000000000004</c:v>
                </c:pt>
                <c:pt idx="13">
                  <c:v>5.1360000000000001</c:v>
                </c:pt>
                <c:pt idx="14">
                  <c:v>5.266</c:v>
                </c:pt>
                <c:pt idx="15">
                  <c:v>4.468</c:v>
                </c:pt>
                <c:pt idx="16">
                  <c:v>4.3049999999999997</c:v>
                </c:pt>
                <c:pt idx="17">
                  <c:v>4.3650000000000002</c:v>
                </c:pt>
                <c:pt idx="18">
                  <c:v>4.5090000000000003</c:v>
                </c:pt>
                <c:pt idx="19">
                  <c:v>4.3289999999999997</c:v>
                </c:pt>
                <c:pt idx="20">
                  <c:v>2.7320000000000002</c:v>
                </c:pt>
              </c:numCache>
            </c:numRef>
          </c:val>
        </c:ser>
        <c:ser>
          <c:idx val="1"/>
          <c:order val="1"/>
          <c:tx>
            <c:strRef>
              <c:f>'Валов.тур.продукт України'!$A$37</c:f>
              <c:strCache>
                <c:ptCount val="1"/>
                <c:pt idx="0">
                  <c:v>Доходи від внутрішнього туризму</c:v>
                </c:pt>
              </c:strCache>
            </c:strRef>
          </c:tx>
          <c:invertIfNegative val="0"/>
          <c:cat>
            <c:numRef>
              <c:f>'Валов.тур.продукт України'!$B$33:$V$33</c:f>
              <c:numCache>
                <c:formatCode>General</c:formatCode>
                <c:ptCount val="21"/>
                <c:pt idx="0">
                  <c:v>1994</c:v>
                </c:pt>
                <c:pt idx="1">
                  <c:v>1995</c:v>
                </c:pt>
                <c:pt idx="2">
                  <c:v>1996</c:v>
                </c:pt>
                <c:pt idx="3">
                  <c:v>1997</c:v>
                </c:pt>
                <c:pt idx="4">
                  <c:v>1998</c:v>
                </c:pt>
                <c:pt idx="5">
                  <c:v>1999</c:v>
                </c:pt>
                <c:pt idx="6">
                  <c:v>2000</c:v>
                </c:pt>
                <c:pt idx="7">
                  <c:v>2001</c:v>
                </c:pt>
                <c:pt idx="8">
                  <c:v>2002</c:v>
                </c:pt>
                <c:pt idx="9">
                  <c:v>2003</c:v>
                </c:pt>
                <c:pt idx="10">
                  <c:v>2004</c:v>
                </c:pt>
                <c:pt idx="11">
                  <c:v>2005</c:v>
                </c:pt>
                <c:pt idx="12">
                  <c:v>2006</c:v>
                </c:pt>
                <c:pt idx="13">
                  <c:v>2007</c:v>
                </c:pt>
                <c:pt idx="14">
                  <c:v>2008</c:v>
                </c:pt>
                <c:pt idx="15">
                  <c:v>2009</c:v>
                </c:pt>
                <c:pt idx="16">
                  <c:v>2010</c:v>
                </c:pt>
                <c:pt idx="17">
                  <c:v>2011</c:v>
                </c:pt>
                <c:pt idx="18">
                  <c:v>2012</c:v>
                </c:pt>
                <c:pt idx="19">
                  <c:v>2013</c:v>
                </c:pt>
                <c:pt idx="20">
                  <c:v>2014</c:v>
                </c:pt>
              </c:numCache>
            </c:numRef>
          </c:cat>
          <c:val>
            <c:numRef>
              <c:f>'Валов.тур.продукт України'!$B$37:$V$37</c:f>
              <c:numCache>
                <c:formatCode>General</c:formatCode>
                <c:ptCount val="21"/>
                <c:pt idx="0">
                  <c:v>5.22</c:v>
                </c:pt>
                <c:pt idx="1">
                  <c:v>5.3659999999999997</c:v>
                </c:pt>
                <c:pt idx="2">
                  <c:v>3.8610000000000002</c:v>
                </c:pt>
                <c:pt idx="3">
                  <c:v>3.6160000000000001</c:v>
                </c:pt>
                <c:pt idx="4">
                  <c:v>3.08</c:v>
                </c:pt>
                <c:pt idx="5">
                  <c:v>3.101</c:v>
                </c:pt>
                <c:pt idx="6">
                  <c:v>3.6240000000000001</c:v>
                </c:pt>
                <c:pt idx="7">
                  <c:v>3.7069999999999999</c:v>
                </c:pt>
                <c:pt idx="8">
                  <c:v>3.419</c:v>
                </c:pt>
                <c:pt idx="9">
                  <c:v>4.1059999999999999</c:v>
                </c:pt>
                <c:pt idx="10">
                  <c:v>4.2329999999999997</c:v>
                </c:pt>
                <c:pt idx="11">
                  <c:v>3.8780000000000001</c:v>
                </c:pt>
                <c:pt idx="12">
                  <c:v>4.2060000000000004</c:v>
                </c:pt>
                <c:pt idx="13">
                  <c:v>4.2430000000000003</c:v>
                </c:pt>
                <c:pt idx="14">
                  <c:v>4.1289999999999996</c:v>
                </c:pt>
                <c:pt idx="15">
                  <c:v>3.8250000000000002</c:v>
                </c:pt>
                <c:pt idx="16">
                  <c:v>3.9820000000000002</c:v>
                </c:pt>
                <c:pt idx="17">
                  <c:v>4.7590000000000003</c:v>
                </c:pt>
                <c:pt idx="18">
                  <c:v>4.57</c:v>
                </c:pt>
                <c:pt idx="19">
                  <c:v>4.9180000000000001</c:v>
                </c:pt>
                <c:pt idx="20">
                  <c:v>4.7779999999999996</c:v>
                </c:pt>
              </c:numCache>
            </c:numRef>
          </c:val>
        </c:ser>
        <c:ser>
          <c:idx val="2"/>
          <c:order val="2"/>
          <c:tx>
            <c:strRef>
              <c:f>'Валов.тур.продукт України'!$A$38</c:f>
              <c:strCache>
                <c:ptCount val="1"/>
                <c:pt idx="0">
                  <c:v>Урядові індивідуальні витрати</c:v>
                </c:pt>
              </c:strCache>
            </c:strRef>
          </c:tx>
          <c:invertIfNegative val="0"/>
          <c:cat>
            <c:numRef>
              <c:f>'Валов.тур.продукт України'!$B$33:$V$33</c:f>
              <c:numCache>
                <c:formatCode>General</c:formatCode>
                <c:ptCount val="21"/>
                <c:pt idx="0">
                  <c:v>1994</c:v>
                </c:pt>
                <c:pt idx="1">
                  <c:v>1995</c:v>
                </c:pt>
                <c:pt idx="2">
                  <c:v>1996</c:v>
                </c:pt>
                <c:pt idx="3">
                  <c:v>1997</c:v>
                </c:pt>
                <c:pt idx="4">
                  <c:v>1998</c:v>
                </c:pt>
                <c:pt idx="5">
                  <c:v>1999</c:v>
                </c:pt>
                <c:pt idx="6">
                  <c:v>2000</c:v>
                </c:pt>
                <c:pt idx="7">
                  <c:v>2001</c:v>
                </c:pt>
                <c:pt idx="8">
                  <c:v>2002</c:v>
                </c:pt>
                <c:pt idx="9">
                  <c:v>2003</c:v>
                </c:pt>
                <c:pt idx="10">
                  <c:v>2004</c:v>
                </c:pt>
                <c:pt idx="11">
                  <c:v>2005</c:v>
                </c:pt>
                <c:pt idx="12">
                  <c:v>2006</c:v>
                </c:pt>
                <c:pt idx="13">
                  <c:v>2007</c:v>
                </c:pt>
                <c:pt idx="14">
                  <c:v>2008</c:v>
                </c:pt>
                <c:pt idx="15">
                  <c:v>2009</c:v>
                </c:pt>
                <c:pt idx="16">
                  <c:v>2010</c:v>
                </c:pt>
                <c:pt idx="17">
                  <c:v>2011</c:v>
                </c:pt>
                <c:pt idx="18">
                  <c:v>2012</c:v>
                </c:pt>
                <c:pt idx="19">
                  <c:v>2013</c:v>
                </c:pt>
                <c:pt idx="20">
                  <c:v>2014</c:v>
                </c:pt>
              </c:numCache>
            </c:numRef>
          </c:cat>
          <c:val>
            <c:numRef>
              <c:f>'Валов.тур.продукт України'!$B$38:$V$38</c:f>
              <c:numCache>
                <c:formatCode>General</c:formatCode>
                <c:ptCount val="21"/>
                <c:pt idx="0">
                  <c:v>0.34399999999999997</c:v>
                </c:pt>
                <c:pt idx="1">
                  <c:v>0.313</c:v>
                </c:pt>
                <c:pt idx="2">
                  <c:v>0.12</c:v>
                </c:pt>
                <c:pt idx="3">
                  <c:v>0.106</c:v>
                </c:pt>
                <c:pt idx="4">
                  <c:v>0.10299999999999999</c:v>
                </c:pt>
                <c:pt idx="5">
                  <c:v>0.08</c:v>
                </c:pt>
                <c:pt idx="6">
                  <c:v>0.1</c:v>
                </c:pt>
                <c:pt idx="7">
                  <c:v>0.108</c:v>
                </c:pt>
                <c:pt idx="8">
                  <c:v>0.108</c:v>
                </c:pt>
                <c:pt idx="9">
                  <c:v>0.121</c:v>
                </c:pt>
                <c:pt idx="10">
                  <c:v>0.127</c:v>
                </c:pt>
                <c:pt idx="11">
                  <c:v>0.13700000000000001</c:v>
                </c:pt>
                <c:pt idx="12">
                  <c:v>0.14799999999999999</c:v>
                </c:pt>
                <c:pt idx="13">
                  <c:v>0.155</c:v>
                </c:pt>
                <c:pt idx="14">
                  <c:v>0.159</c:v>
                </c:pt>
                <c:pt idx="15">
                  <c:v>0.153</c:v>
                </c:pt>
                <c:pt idx="16">
                  <c:v>0.161</c:v>
                </c:pt>
                <c:pt idx="17">
                  <c:v>0.153</c:v>
                </c:pt>
                <c:pt idx="18">
                  <c:v>0.16500000000000001</c:v>
                </c:pt>
                <c:pt idx="19">
                  <c:v>0.16400000000000001</c:v>
                </c:pt>
                <c:pt idx="20">
                  <c:v>0.159</c:v>
                </c:pt>
              </c:numCache>
            </c:numRef>
          </c:val>
        </c:ser>
        <c:ser>
          <c:idx val="3"/>
          <c:order val="3"/>
          <c:tx>
            <c:strRef>
              <c:f>'Валов.тур.продукт України'!$A$39</c:f>
              <c:strCache>
                <c:ptCount val="1"/>
                <c:pt idx="0">
                  <c:v>Капітальні інвестиції в туризм</c:v>
                </c:pt>
              </c:strCache>
            </c:strRef>
          </c:tx>
          <c:invertIfNegative val="0"/>
          <c:cat>
            <c:numRef>
              <c:f>'Валов.тур.продукт України'!$B$33:$V$33</c:f>
              <c:numCache>
                <c:formatCode>General</c:formatCode>
                <c:ptCount val="21"/>
                <c:pt idx="0">
                  <c:v>1994</c:v>
                </c:pt>
                <c:pt idx="1">
                  <c:v>1995</c:v>
                </c:pt>
                <c:pt idx="2">
                  <c:v>1996</c:v>
                </c:pt>
                <c:pt idx="3">
                  <c:v>1997</c:v>
                </c:pt>
                <c:pt idx="4">
                  <c:v>1998</c:v>
                </c:pt>
                <c:pt idx="5">
                  <c:v>1999</c:v>
                </c:pt>
                <c:pt idx="6">
                  <c:v>2000</c:v>
                </c:pt>
                <c:pt idx="7">
                  <c:v>2001</c:v>
                </c:pt>
                <c:pt idx="8">
                  <c:v>2002</c:v>
                </c:pt>
                <c:pt idx="9">
                  <c:v>2003</c:v>
                </c:pt>
                <c:pt idx="10">
                  <c:v>2004</c:v>
                </c:pt>
                <c:pt idx="11">
                  <c:v>2005</c:v>
                </c:pt>
                <c:pt idx="12">
                  <c:v>2006</c:v>
                </c:pt>
                <c:pt idx="13">
                  <c:v>2007</c:v>
                </c:pt>
                <c:pt idx="14">
                  <c:v>2008</c:v>
                </c:pt>
                <c:pt idx="15">
                  <c:v>2009</c:v>
                </c:pt>
                <c:pt idx="16">
                  <c:v>2010</c:v>
                </c:pt>
                <c:pt idx="17">
                  <c:v>2011</c:v>
                </c:pt>
                <c:pt idx="18">
                  <c:v>2012</c:v>
                </c:pt>
                <c:pt idx="19">
                  <c:v>2013</c:v>
                </c:pt>
                <c:pt idx="20">
                  <c:v>2014</c:v>
                </c:pt>
              </c:numCache>
            </c:numRef>
          </c:cat>
          <c:val>
            <c:numRef>
              <c:f>'Валов.тур.продукт України'!$B$39:$V$39</c:f>
              <c:numCache>
                <c:formatCode>General</c:formatCode>
                <c:ptCount val="21"/>
                <c:pt idx="0">
                  <c:v>3.8559999999999999</c:v>
                </c:pt>
                <c:pt idx="1">
                  <c:v>3.234</c:v>
                </c:pt>
                <c:pt idx="2">
                  <c:v>0.66</c:v>
                </c:pt>
                <c:pt idx="3">
                  <c:v>0.65700000000000003</c:v>
                </c:pt>
                <c:pt idx="4">
                  <c:v>0.51700000000000002</c:v>
                </c:pt>
                <c:pt idx="5">
                  <c:v>0.40100000000000002</c:v>
                </c:pt>
                <c:pt idx="6">
                  <c:v>0.34899999999999998</c:v>
                </c:pt>
                <c:pt idx="7">
                  <c:v>0.36599999999999999</c:v>
                </c:pt>
                <c:pt idx="8">
                  <c:v>0.34</c:v>
                </c:pt>
                <c:pt idx="9">
                  <c:v>0.39900000000000002</c:v>
                </c:pt>
                <c:pt idx="10">
                  <c:v>0.49</c:v>
                </c:pt>
                <c:pt idx="11">
                  <c:v>0.52400000000000002</c:v>
                </c:pt>
                <c:pt idx="12">
                  <c:v>0.67500000000000004</c:v>
                </c:pt>
                <c:pt idx="13">
                  <c:v>0.91200000000000003</c:v>
                </c:pt>
                <c:pt idx="14">
                  <c:v>1.1000000000000001</c:v>
                </c:pt>
                <c:pt idx="15">
                  <c:v>0.69899999999999995</c:v>
                </c:pt>
                <c:pt idx="16">
                  <c:v>0.52600000000000002</c:v>
                </c:pt>
                <c:pt idx="17">
                  <c:v>0.60399999999999998</c:v>
                </c:pt>
                <c:pt idx="18">
                  <c:v>0.63300000000000001</c:v>
                </c:pt>
                <c:pt idx="19">
                  <c:v>0.55900000000000005</c:v>
                </c:pt>
                <c:pt idx="20">
                  <c:v>0.45300000000000001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7812992"/>
        <c:axId val="145019264"/>
      </c:barChart>
      <c:catAx>
        <c:axId val="137812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uk-UA"/>
          </a:p>
        </c:txPr>
        <c:crossAx val="145019264"/>
        <c:crosses val="autoZero"/>
        <c:auto val="1"/>
        <c:lblAlgn val="ctr"/>
        <c:lblOffset val="100"/>
        <c:noMultiLvlLbl val="0"/>
      </c:catAx>
      <c:valAx>
        <c:axId val="14501926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781299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5.0000027030606756E-2"/>
          <c:y val="0.85407925538468432"/>
          <c:w val="0.89999991082845709"/>
          <c:h val="7.9538331018564667E-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uk-U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37"/>
    </mc:Choice>
    <mc:Fallback>
      <c:style val="37"/>
    </mc:Fallback>
  </mc:AlternateContent>
  <c:chart>
    <c:autoTitleDeleted val="0"/>
    <c:plotArea>
      <c:layout>
        <c:manualLayout>
          <c:layoutTarget val="inner"/>
          <c:xMode val="edge"/>
          <c:yMode val="edge"/>
          <c:x val="6.8485805946481737E-2"/>
          <c:y val="2.9838387787374653E-2"/>
          <c:w val="0.88635866945203279"/>
          <c:h val="0.92725621827984028"/>
        </c:manualLayout>
      </c:layout>
      <c:scatterChart>
        <c:scatterStyle val="smoothMarker"/>
        <c:varyColors val="0"/>
        <c:ser>
          <c:idx val="0"/>
          <c:order val="0"/>
          <c:spPr>
            <a:ln w="57150">
              <a:solidFill>
                <a:srgbClr val="4BDB33"/>
              </a:solidFill>
            </a:ln>
          </c:spPr>
          <c:marker>
            <c:symbol val="none"/>
          </c:marker>
          <c:dLbls>
            <c:dLbl>
              <c:idx val="0"/>
              <c:layout>
                <c:manualLayout>
                  <c:x val="-2.1145807339749041E-2"/>
                  <c:y val="3.6402649571997993E-2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rgbClr val="FF0000"/>
                      </a:solidFill>
                    </a:defRPr>
                  </a:pPr>
                  <a:endParaRPr lang="uk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7451573568001254E-2"/>
                  <c:y val="-3.2926900025820577E-2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rgbClr val="FF0000"/>
                      </a:solidFill>
                    </a:defRPr>
                  </a:pPr>
                  <a:endParaRPr lang="uk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726364811875151E-2"/>
                  <c:y val="3.933882659633664E-2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rgbClr val="FF0000"/>
                      </a:solidFill>
                    </a:defRPr>
                  </a:pPr>
                  <a:endParaRPr lang="uk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0032773236857776E-2"/>
                  <c:y val="1.4917572236592387E-2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rgbClr val="FF0000"/>
                      </a:solidFill>
                    </a:defRPr>
                  </a:pPr>
                  <a:endParaRPr lang="uk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726364811875151E-2"/>
                  <c:y val="5.3859639761873912E-2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rgbClr val="FF0000"/>
                      </a:solidFill>
                    </a:defRPr>
                  </a:pPr>
                  <a:endParaRPr lang="uk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6845021155434762E-2"/>
                  <c:y val="-1.82546821047175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447082220609333E-2"/>
                  <c:y val="-3.27252164571035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1.3953780681319387E-2"/>
                  <c:y val="-2.04941735325274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1.9793795650607272E-2"/>
                  <c:y val="8.5628296455510911E-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4515405815296206E-2"/>
                  <c:y val="-1.06836597022661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2.6453173923844862E-2"/>
                  <c:y val="-3.63679673148310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1.4134054689302549E-2"/>
                  <c:y val="6.4749106264911468E-2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rgbClr val="FF0000"/>
                      </a:solidFill>
                    </a:defRPr>
                  </a:pPr>
                  <a:endParaRPr lang="uk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3.0216963132742233E-2"/>
                  <c:y val="-1.4377692870122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2.2921341702650179E-2"/>
                  <c:y val="-2.99348314349667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3.3557525466087444E-2"/>
                  <c:y val="2.3691593656690801E-3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solidFill>
                          <a:srgbClr val="FF0000"/>
                        </a:solidFill>
                      </a:rPr>
                      <a:t>-0,8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spPr/>
              <c:txPr>
                <a:bodyPr/>
                <a:lstStyle/>
                <a:p>
                  <a:pPr>
                    <a:defRPr b="1">
                      <a:solidFill>
                        <a:srgbClr val="FF0000"/>
                      </a:solidFill>
                    </a:defRPr>
                  </a:pPr>
                  <a:endParaRPr lang="uk-UA"/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2.361850612254373E-2"/>
                  <c:y val="6.1742421355123443E-2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rgbClr val="FF0000"/>
                      </a:solidFill>
                    </a:defRPr>
                  </a:pPr>
                  <a:endParaRPr lang="uk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2.2556169657346692E-2"/>
                  <c:y val="-4.35773033211119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1.7880481535451274E-2"/>
                  <c:y val="-3.53600412513148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1.9822043721663653E-2"/>
                  <c:y val="-3.27252164571034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3.3790377776806428E-2"/>
                  <c:y val="3.2436295172687153E-2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rgbClr val="FF0000"/>
                      </a:solidFill>
                    </a:defRPr>
                  </a:pPr>
                  <a:endParaRPr lang="uk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uk-UA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trendlineType val="poly"/>
            <c:order val="6"/>
            <c:dispRSqr val="0"/>
            <c:dispEq val="0"/>
          </c:trendline>
          <c:xVal>
            <c:numRef>
              <c:f>'Валов.тур.продукт України'!$A$1:$U$1</c:f>
              <c:numCache>
                <c:formatCode>General</c:formatCode>
                <c:ptCount val="21"/>
                <c:pt idx="0">
                  <c:v>1994</c:v>
                </c:pt>
                <c:pt idx="1">
                  <c:v>1995</c:v>
                </c:pt>
                <c:pt idx="2">
                  <c:v>1996</c:v>
                </c:pt>
                <c:pt idx="3">
                  <c:v>1997</c:v>
                </c:pt>
                <c:pt idx="4">
                  <c:v>1998</c:v>
                </c:pt>
                <c:pt idx="5">
                  <c:v>1999</c:v>
                </c:pt>
                <c:pt idx="6">
                  <c:v>2000</c:v>
                </c:pt>
                <c:pt idx="7">
                  <c:v>2001</c:v>
                </c:pt>
                <c:pt idx="8">
                  <c:v>2002</c:v>
                </c:pt>
                <c:pt idx="9">
                  <c:v>2003</c:v>
                </c:pt>
                <c:pt idx="10">
                  <c:v>2004</c:v>
                </c:pt>
                <c:pt idx="11">
                  <c:v>2005</c:v>
                </c:pt>
                <c:pt idx="12">
                  <c:v>2006</c:v>
                </c:pt>
                <c:pt idx="13">
                  <c:v>2007</c:v>
                </c:pt>
                <c:pt idx="14">
                  <c:v>2008</c:v>
                </c:pt>
                <c:pt idx="15">
                  <c:v>2009</c:v>
                </c:pt>
                <c:pt idx="16">
                  <c:v>2010</c:v>
                </c:pt>
                <c:pt idx="17">
                  <c:v>2011</c:v>
                </c:pt>
                <c:pt idx="18">
                  <c:v>2012</c:v>
                </c:pt>
                <c:pt idx="19">
                  <c:v>2013</c:v>
                </c:pt>
                <c:pt idx="20">
                  <c:v>2014</c:v>
                </c:pt>
              </c:numCache>
            </c:numRef>
          </c:xVal>
          <c:yVal>
            <c:numRef>
              <c:f>'Валов.тур.продукт України'!$A$2:$U$2</c:f>
              <c:numCache>
                <c:formatCode>General</c:formatCode>
                <c:ptCount val="21"/>
                <c:pt idx="0">
                  <c:v>-23.9</c:v>
                </c:pt>
                <c:pt idx="1">
                  <c:v>-6.8</c:v>
                </c:pt>
                <c:pt idx="2">
                  <c:v>-50.3</c:v>
                </c:pt>
                <c:pt idx="3">
                  <c:v>-2.5</c:v>
                </c:pt>
                <c:pt idx="4">
                  <c:v>-11.8</c:v>
                </c:pt>
                <c:pt idx="5">
                  <c:v>1.1000000000000001</c:v>
                </c:pt>
                <c:pt idx="6">
                  <c:v>22.5</c:v>
                </c:pt>
                <c:pt idx="7">
                  <c:v>7</c:v>
                </c:pt>
                <c:pt idx="8">
                  <c:v>3.9</c:v>
                </c:pt>
                <c:pt idx="9">
                  <c:v>11.2</c:v>
                </c:pt>
                <c:pt idx="10">
                  <c:v>45.6</c:v>
                </c:pt>
                <c:pt idx="11">
                  <c:v>-2.5</c:v>
                </c:pt>
                <c:pt idx="12">
                  <c:v>4.3</c:v>
                </c:pt>
                <c:pt idx="13">
                  <c:v>5.5</c:v>
                </c:pt>
                <c:pt idx="14">
                  <c:v>-0.8</c:v>
                </c:pt>
                <c:pt idx="15">
                  <c:v>-9.6999999999999993</c:v>
                </c:pt>
                <c:pt idx="16">
                  <c:v>-5.5</c:v>
                </c:pt>
                <c:pt idx="17">
                  <c:v>4.3</c:v>
                </c:pt>
                <c:pt idx="18">
                  <c:v>1.2</c:v>
                </c:pt>
                <c:pt idx="19">
                  <c:v>5</c:v>
                </c:pt>
                <c:pt idx="20">
                  <c:v>-18.100000000000001</c:v>
                </c:pt>
              </c:numCache>
            </c:numRef>
          </c:yVal>
          <c:smooth val="1"/>
        </c:ser>
        <c:dLbls>
          <c:dLblPos val="b"/>
          <c:showLegendKey val="0"/>
          <c:showVal val="1"/>
          <c:showCatName val="0"/>
          <c:showSerName val="0"/>
          <c:showPercent val="0"/>
          <c:showBubbleSize val="0"/>
        </c:dLbls>
        <c:axId val="111282816"/>
        <c:axId val="111292800"/>
      </c:scatterChart>
      <c:valAx>
        <c:axId val="111282816"/>
        <c:scaling>
          <c:orientation val="minMax"/>
          <c:max val="2014"/>
          <c:min val="1994"/>
        </c:scaling>
        <c:delete val="0"/>
        <c:axPos val="b"/>
        <c:minorGridlines/>
        <c:numFmt formatCode="General" sourceLinked="1"/>
        <c:majorTickMark val="cross"/>
        <c:minorTickMark val="none"/>
        <c:tickLblPos val="nextTo"/>
        <c:spPr>
          <a:ln w="22225">
            <a:solidFill>
              <a:schemeClr val="tx1"/>
            </a:solidFill>
          </a:ln>
        </c:spPr>
        <c:txPr>
          <a:bodyPr rot="-3060000"/>
          <a:lstStyle/>
          <a:p>
            <a:pPr>
              <a:defRPr baseline="0">
                <a:solidFill>
                  <a:srgbClr val="0070C0"/>
                </a:solidFill>
                <a:latin typeface="Times New Roman" pitchFamily="18" charset="0"/>
                <a:cs typeface="Times New Roman" pitchFamily="18" charset="0"/>
              </a:defRPr>
            </a:pPr>
            <a:endParaRPr lang="uk-UA"/>
          </a:p>
        </c:txPr>
        <c:crossAx val="111292800"/>
        <c:crosses val="autoZero"/>
        <c:crossBetween val="midCat"/>
        <c:majorUnit val="1"/>
        <c:minorUnit val="0.70000000000000007"/>
      </c:valAx>
      <c:valAx>
        <c:axId val="111292800"/>
        <c:scaling>
          <c:orientation val="minMax"/>
        </c:scaling>
        <c:delete val="0"/>
        <c:axPos val="l"/>
        <c:minorGridlines/>
        <c:numFmt formatCode="General" sourceLinked="1"/>
        <c:majorTickMark val="out"/>
        <c:minorTickMark val="cross"/>
        <c:tickLblPos val="nextTo"/>
        <c:txPr>
          <a:bodyPr/>
          <a:lstStyle/>
          <a:p>
            <a:pPr>
              <a:defRPr b="1"/>
            </a:pPr>
            <a:endParaRPr lang="uk-UA"/>
          </a:p>
        </c:txPr>
        <c:crossAx val="111282816"/>
        <c:crossesAt val="1994"/>
        <c:crossBetween val="midCat"/>
      </c:valAx>
      <c:spPr>
        <a:ln w="6350" cmpd="thickThin"/>
      </c:spPr>
    </c:plotArea>
    <c:plotVisOnly val="1"/>
    <c:dispBlanksAs val="gap"/>
    <c:showDLblsOverMax val="0"/>
  </c:chart>
  <c:spPr>
    <a:gradFill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  <a:ln w="19050"/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0552083293310989E-2"/>
          <c:y val="3.00051941404074E-2"/>
          <c:w val="0.93693748009532285"/>
          <c:h val="0.87816881002943492"/>
        </c:manualLayout>
      </c:layout>
      <c:scatterChart>
        <c:scatterStyle val="smoothMarker"/>
        <c:varyColors val="0"/>
        <c:ser>
          <c:idx val="0"/>
          <c:order val="0"/>
          <c:tx>
            <c:strRef>
              <c:f>'Т.п. від ІТ'!$A$2</c:f>
              <c:strCache>
                <c:ptCount val="1"/>
                <c:pt idx="0">
                  <c:v>Доходи від іноземного туризму</c:v>
                </c:pt>
              </c:strCache>
            </c:strRef>
          </c:tx>
          <c:marker>
            <c:symbol val="none"/>
          </c:marker>
          <c:dLbls>
            <c:dLbl>
              <c:idx val="1"/>
              <c:delete val="1"/>
            </c:dLbl>
            <c:dLbl>
              <c:idx val="2"/>
              <c:layout>
                <c:manualLayout>
                  <c:x val="-1.9518096228166325E-2"/>
                  <c:y val="-3.82395360671088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pPr/>
              <c:txPr>
                <a:bodyPr/>
                <a:lstStyle/>
                <a:p>
                  <a:pPr>
                    <a:defRPr>
                      <a:solidFill>
                        <a:srgbClr val="FF0000"/>
                      </a:solidFill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2.3709902370990237E-2"/>
                  <c:y val="-4.30107526881720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spPr/>
              <c:txPr>
                <a:bodyPr/>
                <a:lstStyle/>
                <a:p>
                  <a:pPr>
                    <a:defRPr>
                      <a:solidFill>
                        <a:srgbClr val="FF0000"/>
                      </a:solidFill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spPr/>
              <c:txPr>
                <a:bodyPr/>
                <a:lstStyle/>
                <a:p>
                  <a:pPr>
                    <a:defRPr>
                      <a:solidFill>
                        <a:srgbClr val="FF0000"/>
                      </a:solidFill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spPr/>
              <c:txPr>
                <a:bodyPr/>
                <a:lstStyle/>
                <a:p>
                  <a:pPr>
                    <a:defRPr>
                      <a:solidFill>
                        <a:srgbClr val="FF0000"/>
                      </a:solidFill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2.7882994611665157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>
                      <a:solidFill>
                        <a:srgbClr val="FF0000"/>
                      </a:solidFill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delete val="1"/>
            </c:dLbl>
            <c:dLbl>
              <c:idx val="19"/>
              <c:spPr/>
              <c:txPr>
                <a:bodyPr/>
                <a:lstStyle/>
                <a:p>
                  <a:pPr>
                    <a:defRPr>
                      <a:solidFill>
                        <a:srgbClr val="FF0000"/>
                      </a:solidFill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1.254734757524978E-2"/>
                  <c:y val="3.8239536067108879E-2"/>
                </c:manualLayout>
              </c:layout>
              <c:spPr/>
              <c:txPr>
                <a:bodyPr/>
                <a:lstStyle/>
                <a:p>
                  <a:pPr>
                    <a:defRPr>
                      <a:solidFill>
                        <a:srgbClr val="FF0000"/>
                      </a:solidFill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xVal>
            <c:numRef>
              <c:f>'Т.п. від ІТ'!$B$1:$V$1</c:f>
              <c:numCache>
                <c:formatCode>General</c:formatCode>
                <c:ptCount val="21"/>
                <c:pt idx="0">
                  <c:v>1994</c:v>
                </c:pt>
                <c:pt idx="1">
                  <c:v>1995</c:v>
                </c:pt>
                <c:pt idx="2">
                  <c:v>1996</c:v>
                </c:pt>
                <c:pt idx="3">
                  <c:v>1997</c:v>
                </c:pt>
                <c:pt idx="4">
                  <c:v>1998</c:v>
                </c:pt>
                <c:pt idx="5">
                  <c:v>1999</c:v>
                </c:pt>
                <c:pt idx="6">
                  <c:v>2000</c:v>
                </c:pt>
                <c:pt idx="7">
                  <c:v>2001</c:v>
                </c:pt>
                <c:pt idx="8">
                  <c:v>2002</c:v>
                </c:pt>
                <c:pt idx="9">
                  <c:v>2003</c:v>
                </c:pt>
                <c:pt idx="10">
                  <c:v>2004</c:v>
                </c:pt>
                <c:pt idx="11">
                  <c:v>2005</c:v>
                </c:pt>
                <c:pt idx="12">
                  <c:v>2006</c:v>
                </c:pt>
                <c:pt idx="13">
                  <c:v>2007</c:v>
                </c:pt>
                <c:pt idx="14">
                  <c:v>2008</c:v>
                </c:pt>
                <c:pt idx="15">
                  <c:v>2009</c:v>
                </c:pt>
                <c:pt idx="16">
                  <c:v>2010</c:v>
                </c:pt>
                <c:pt idx="17">
                  <c:v>2011</c:v>
                </c:pt>
                <c:pt idx="18">
                  <c:v>2012</c:v>
                </c:pt>
                <c:pt idx="19">
                  <c:v>2013</c:v>
                </c:pt>
                <c:pt idx="20">
                  <c:v>2014</c:v>
                </c:pt>
              </c:numCache>
            </c:numRef>
          </c:xVal>
          <c:yVal>
            <c:numRef>
              <c:f>'Т.п. від ІТ'!$B$2:$V$2</c:f>
              <c:numCache>
                <c:formatCode>General</c:formatCode>
                <c:ptCount val="21"/>
                <c:pt idx="0">
                  <c:v>11.1</c:v>
                </c:pt>
                <c:pt idx="1">
                  <c:v>-3.1</c:v>
                </c:pt>
                <c:pt idx="2">
                  <c:v>74.900000000000006</c:v>
                </c:pt>
                <c:pt idx="3">
                  <c:v>-8.5</c:v>
                </c:pt>
                <c:pt idx="4">
                  <c:v>32.5</c:v>
                </c:pt>
                <c:pt idx="5">
                  <c:v>23</c:v>
                </c:pt>
                <c:pt idx="6">
                  <c:v>19.399999999999999</c:v>
                </c:pt>
                <c:pt idx="7">
                  <c:v>20.7</c:v>
                </c:pt>
                <c:pt idx="8">
                  <c:v>24.2</c:v>
                </c:pt>
                <c:pt idx="9">
                  <c:v>11.4</c:v>
                </c:pt>
                <c:pt idx="10">
                  <c:v>109.7</c:v>
                </c:pt>
                <c:pt idx="11">
                  <c:v>-6.2</c:v>
                </c:pt>
                <c:pt idx="12">
                  <c:v>-2.4</c:v>
                </c:pt>
                <c:pt idx="13">
                  <c:v>7.5</c:v>
                </c:pt>
                <c:pt idx="14">
                  <c:v>2.5</c:v>
                </c:pt>
                <c:pt idx="15">
                  <c:v>-15.1</c:v>
                </c:pt>
                <c:pt idx="16">
                  <c:v>-3.6</c:v>
                </c:pt>
                <c:pt idx="17">
                  <c:v>1.3</c:v>
                </c:pt>
                <c:pt idx="18">
                  <c:v>3.3</c:v>
                </c:pt>
                <c:pt idx="19">
                  <c:v>-3.9</c:v>
                </c:pt>
                <c:pt idx="20">
                  <c:v>-36.799999999999997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'Т.п. від ІТ'!$A$3</c:f>
              <c:strCache>
                <c:ptCount val="1"/>
                <c:pt idx="0">
                  <c:v>Доходи від внутрішнього туризму</c:v>
                </c:pt>
              </c:strCache>
            </c:strRef>
          </c:tx>
          <c:marker>
            <c:symbol val="none"/>
          </c:marker>
          <c:xVal>
            <c:numRef>
              <c:f>'Т.п. від ІТ'!$B$1:$V$1</c:f>
              <c:numCache>
                <c:formatCode>General</c:formatCode>
                <c:ptCount val="21"/>
                <c:pt idx="0">
                  <c:v>1994</c:v>
                </c:pt>
                <c:pt idx="1">
                  <c:v>1995</c:v>
                </c:pt>
                <c:pt idx="2">
                  <c:v>1996</c:v>
                </c:pt>
                <c:pt idx="3">
                  <c:v>1997</c:v>
                </c:pt>
                <c:pt idx="4">
                  <c:v>1998</c:v>
                </c:pt>
                <c:pt idx="5">
                  <c:v>1999</c:v>
                </c:pt>
                <c:pt idx="6">
                  <c:v>2000</c:v>
                </c:pt>
                <c:pt idx="7">
                  <c:v>2001</c:v>
                </c:pt>
                <c:pt idx="8">
                  <c:v>2002</c:v>
                </c:pt>
                <c:pt idx="9">
                  <c:v>2003</c:v>
                </c:pt>
                <c:pt idx="10">
                  <c:v>2004</c:v>
                </c:pt>
                <c:pt idx="11">
                  <c:v>2005</c:v>
                </c:pt>
                <c:pt idx="12">
                  <c:v>2006</c:v>
                </c:pt>
                <c:pt idx="13">
                  <c:v>2007</c:v>
                </c:pt>
                <c:pt idx="14">
                  <c:v>2008</c:v>
                </c:pt>
                <c:pt idx="15">
                  <c:v>2009</c:v>
                </c:pt>
                <c:pt idx="16">
                  <c:v>2010</c:v>
                </c:pt>
                <c:pt idx="17">
                  <c:v>2011</c:v>
                </c:pt>
                <c:pt idx="18">
                  <c:v>2012</c:v>
                </c:pt>
                <c:pt idx="19">
                  <c:v>2013</c:v>
                </c:pt>
                <c:pt idx="20">
                  <c:v>2014</c:v>
                </c:pt>
              </c:numCache>
            </c:numRef>
          </c:xVal>
          <c:yVal>
            <c:numRef>
              <c:f>'Т.п. від ІТ'!$B$3:$V$3</c:f>
              <c:numCache>
                <c:formatCode>General</c:formatCode>
                <c:ptCount val="21"/>
                <c:pt idx="0">
                  <c:v>-23.4</c:v>
                </c:pt>
                <c:pt idx="1">
                  <c:v>2.7</c:v>
                </c:pt>
                <c:pt idx="2">
                  <c:v>-28</c:v>
                </c:pt>
                <c:pt idx="3">
                  <c:v>-6.3</c:v>
                </c:pt>
                <c:pt idx="4">
                  <c:v>-14.8</c:v>
                </c:pt>
                <c:pt idx="5">
                  <c:v>0.6</c:v>
                </c:pt>
                <c:pt idx="6">
                  <c:v>16.8</c:v>
                </c:pt>
                <c:pt idx="7">
                  <c:v>2.2000000000000002</c:v>
                </c:pt>
                <c:pt idx="8">
                  <c:v>-7.7</c:v>
                </c:pt>
                <c:pt idx="9">
                  <c:v>20</c:v>
                </c:pt>
                <c:pt idx="10">
                  <c:v>3</c:v>
                </c:pt>
                <c:pt idx="11">
                  <c:v>-8.3000000000000007</c:v>
                </c:pt>
                <c:pt idx="12">
                  <c:v>8.4</c:v>
                </c:pt>
                <c:pt idx="13">
                  <c:v>0.8</c:v>
                </c:pt>
                <c:pt idx="14">
                  <c:v>-2.6</c:v>
                </c:pt>
                <c:pt idx="15">
                  <c:v>-7.3</c:v>
                </c:pt>
                <c:pt idx="16">
                  <c:v>4</c:v>
                </c:pt>
                <c:pt idx="17">
                  <c:v>19.5</c:v>
                </c:pt>
                <c:pt idx="18">
                  <c:v>-3.9</c:v>
                </c:pt>
                <c:pt idx="19">
                  <c:v>7.6</c:v>
                </c:pt>
                <c:pt idx="20">
                  <c:v>-2.8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'Т.п. від ІТ'!$A$4</c:f>
              <c:strCache>
                <c:ptCount val="1"/>
                <c:pt idx="0">
                  <c:v>Урядові витрати на туризм</c:v>
                </c:pt>
              </c:strCache>
            </c:strRef>
          </c:tx>
          <c:marker>
            <c:symbol val="none"/>
          </c:marker>
          <c:xVal>
            <c:numRef>
              <c:f>'Т.п. від ІТ'!$B$1:$V$1</c:f>
              <c:numCache>
                <c:formatCode>General</c:formatCode>
                <c:ptCount val="21"/>
                <c:pt idx="0">
                  <c:v>1994</c:v>
                </c:pt>
                <c:pt idx="1">
                  <c:v>1995</c:v>
                </c:pt>
                <c:pt idx="2">
                  <c:v>1996</c:v>
                </c:pt>
                <c:pt idx="3">
                  <c:v>1997</c:v>
                </c:pt>
                <c:pt idx="4">
                  <c:v>1998</c:v>
                </c:pt>
                <c:pt idx="5">
                  <c:v>1999</c:v>
                </c:pt>
                <c:pt idx="6">
                  <c:v>2000</c:v>
                </c:pt>
                <c:pt idx="7">
                  <c:v>2001</c:v>
                </c:pt>
                <c:pt idx="8">
                  <c:v>2002</c:v>
                </c:pt>
                <c:pt idx="9">
                  <c:v>2003</c:v>
                </c:pt>
                <c:pt idx="10">
                  <c:v>2004</c:v>
                </c:pt>
                <c:pt idx="11">
                  <c:v>2005</c:v>
                </c:pt>
                <c:pt idx="12">
                  <c:v>2006</c:v>
                </c:pt>
                <c:pt idx="13">
                  <c:v>2007</c:v>
                </c:pt>
                <c:pt idx="14">
                  <c:v>2008</c:v>
                </c:pt>
                <c:pt idx="15">
                  <c:v>2009</c:v>
                </c:pt>
                <c:pt idx="16">
                  <c:v>2010</c:v>
                </c:pt>
                <c:pt idx="17">
                  <c:v>2011</c:v>
                </c:pt>
                <c:pt idx="18">
                  <c:v>2012</c:v>
                </c:pt>
                <c:pt idx="19">
                  <c:v>2013</c:v>
                </c:pt>
                <c:pt idx="20">
                  <c:v>2014</c:v>
                </c:pt>
              </c:numCache>
            </c:numRef>
          </c:xVal>
          <c:yVal>
            <c:numRef>
              <c:f>'Т.п. від ІТ'!$B$4:$V$4</c:f>
              <c:numCache>
                <c:formatCode>General</c:formatCode>
                <c:ptCount val="21"/>
                <c:pt idx="0">
                  <c:v>3.2</c:v>
                </c:pt>
                <c:pt idx="1">
                  <c:v>-8.8000000000000007</c:v>
                </c:pt>
                <c:pt idx="2">
                  <c:v>-61.8</c:v>
                </c:pt>
                <c:pt idx="3">
                  <c:v>-10.9</c:v>
                </c:pt>
                <c:pt idx="4">
                  <c:v>-2.8</c:v>
                </c:pt>
                <c:pt idx="5">
                  <c:v>-19.7</c:v>
                </c:pt>
                <c:pt idx="6">
                  <c:v>17.600000000000001</c:v>
                </c:pt>
                <c:pt idx="7">
                  <c:v>10.6</c:v>
                </c:pt>
                <c:pt idx="8">
                  <c:v>-0.5</c:v>
                </c:pt>
                <c:pt idx="9">
                  <c:v>12.5</c:v>
                </c:pt>
                <c:pt idx="10">
                  <c:v>4.5</c:v>
                </c:pt>
                <c:pt idx="11">
                  <c:v>7.8</c:v>
                </c:pt>
                <c:pt idx="12">
                  <c:v>8.6999999999999993</c:v>
                </c:pt>
                <c:pt idx="13">
                  <c:v>4.5</c:v>
                </c:pt>
                <c:pt idx="14">
                  <c:v>2.2000000000000002</c:v>
                </c:pt>
                <c:pt idx="15">
                  <c:v>-3.5</c:v>
                </c:pt>
                <c:pt idx="16">
                  <c:v>5.2</c:v>
                </c:pt>
                <c:pt idx="17">
                  <c:v>-5.2</c:v>
                </c:pt>
                <c:pt idx="18">
                  <c:v>7.9</c:v>
                </c:pt>
                <c:pt idx="19">
                  <c:v>-0.6</c:v>
                </c:pt>
                <c:pt idx="20">
                  <c:v>-2.7</c:v>
                </c:pt>
              </c:numCache>
            </c:numRef>
          </c:yVal>
          <c:smooth val="1"/>
        </c:ser>
        <c:ser>
          <c:idx val="3"/>
          <c:order val="3"/>
          <c:tx>
            <c:strRef>
              <c:f>'Т.п. від ІТ'!$A$5</c:f>
              <c:strCache>
                <c:ptCount val="1"/>
                <c:pt idx="0">
                  <c:v>Капітальні інвестиції</c:v>
                </c:pt>
              </c:strCache>
            </c:strRef>
          </c:tx>
          <c:marker>
            <c:symbol val="none"/>
          </c:marker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6488844881082871E-2"/>
                  <c:y val="3.34595940587202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5.8554288684498877E-2"/>
                  <c:y val="0.1003787821761608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solidFill>
                      <a:srgbClr val="FF0000"/>
                    </a:solidFill>
                  </a:defRPr>
                </a:pPr>
                <a:endParaRPr lang="uk-U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xVal>
            <c:numRef>
              <c:f>'Т.п. від ІТ'!$B$1:$V$1</c:f>
              <c:numCache>
                <c:formatCode>General</c:formatCode>
                <c:ptCount val="21"/>
                <c:pt idx="0">
                  <c:v>1994</c:v>
                </c:pt>
                <c:pt idx="1">
                  <c:v>1995</c:v>
                </c:pt>
                <c:pt idx="2">
                  <c:v>1996</c:v>
                </c:pt>
                <c:pt idx="3">
                  <c:v>1997</c:v>
                </c:pt>
                <c:pt idx="4">
                  <c:v>1998</c:v>
                </c:pt>
                <c:pt idx="5">
                  <c:v>1999</c:v>
                </c:pt>
                <c:pt idx="6">
                  <c:v>2000</c:v>
                </c:pt>
                <c:pt idx="7">
                  <c:v>2001</c:v>
                </c:pt>
                <c:pt idx="8">
                  <c:v>2002</c:v>
                </c:pt>
                <c:pt idx="9">
                  <c:v>2003</c:v>
                </c:pt>
                <c:pt idx="10">
                  <c:v>2004</c:v>
                </c:pt>
                <c:pt idx="11">
                  <c:v>2005</c:v>
                </c:pt>
                <c:pt idx="12">
                  <c:v>2006</c:v>
                </c:pt>
                <c:pt idx="13">
                  <c:v>2007</c:v>
                </c:pt>
                <c:pt idx="14">
                  <c:v>2008</c:v>
                </c:pt>
                <c:pt idx="15">
                  <c:v>2009</c:v>
                </c:pt>
                <c:pt idx="16">
                  <c:v>2010</c:v>
                </c:pt>
                <c:pt idx="17">
                  <c:v>2011</c:v>
                </c:pt>
                <c:pt idx="18">
                  <c:v>2012</c:v>
                </c:pt>
                <c:pt idx="19">
                  <c:v>2013</c:v>
                </c:pt>
                <c:pt idx="20">
                  <c:v>2014</c:v>
                </c:pt>
              </c:numCache>
            </c:numRef>
          </c:xVal>
          <c:yVal>
            <c:numRef>
              <c:f>'Т.п. від ІТ'!$B$5:$V$5</c:f>
              <c:numCache>
                <c:formatCode>General</c:formatCode>
                <c:ptCount val="21"/>
                <c:pt idx="0">
                  <c:v>-25.6</c:v>
                </c:pt>
                <c:pt idx="1">
                  <c:v>-16.100000000000001</c:v>
                </c:pt>
                <c:pt idx="2">
                  <c:v>-79.5</c:v>
                </c:pt>
                <c:pt idx="3">
                  <c:v>-0.5</c:v>
                </c:pt>
                <c:pt idx="4">
                  <c:v>-21.2</c:v>
                </c:pt>
                <c:pt idx="5">
                  <c:v>-22.3</c:v>
                </c:pt>
                <c:pt idx="6">
                  <c:v>-12.9</c:v>
                </c:pt>
                <c:pt idx="7">
                  <c:v>4.5999999999999996</c:v>
                </c:pt>
                <c:pt idx="8">
                  <c:v>-6.9</c:v>
                </c:pt>
                <c:pt idx="9">
                  <c:v>17.3</c:v>
                </c:pt>
                <c:pt idx="10">
                  <c:v>22.6</c:v>
                </c:pt>
                <c:pt idx="11">
                  <c:v>6.8</c:v>
                </c:pt>
                <c:pt idx="12">
                  <c:v>28.9</c:v>
                </c:pt>
                <c:pt idx="13">
                  <c:v>35</c:v>
                </c:pt>
                <c:pt idx="14">
                  <c:v>20.6</c:v>
                </c:pt>
                <c:pt idx="15">
                  <c:v>-36.5</c:v>
                </c:pt>
                <c:pt idx="16">
                  <c:v>-24.7</c:v>
                </c:pt>
                <c:pt idx="17">
                  <c:v>14.8</c:v>
                </c:pt>
                <c:pt idx="18">
                  <c:v>4.8</c:v>
                </c:pt>
                <c:pt idx="19">
                  <c:v>-11.6</c:v>
                </c:pt>
                <c:pt idx="20">
                  <c:v>-19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1317376"/>
        <c:axId val="111318912"/>
      </c:scatterChart>
      <c:valAx>
        <c:axId val="111317376"/>
        <c:scaling>
          <c:orientation val="minMax"/>
          <c:max val="2014"/>
          <c:min val="1994"/>
        </c:scaling>
        <c:delete val="0"/>
        <c:axPos val="b"/>
        <c:minorGridlines/>
        <c:numFmt formatCode="General" sourceLinked="1"/>
        <c:majorTickMark val="cross"/>
        <c:minorTickMark val="none"/>
        <c:tickLblPos val="nextTo"/>
        <c:spPr>
          <a:ln w="19050">
            <a:solidFill>
              <a:schemeClr val="tx1"/>
            </a:solidFill>
          </a:ln>
        </c:spPr>
        <c:txPr>
          <a:bodyPr rot="-3000000"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uk-UA"/>
          </a:p>
        </c:txPr>
        <c:crossAx val="111318912"/>
        <c:crosses val="autoZero"/>
        <c:crossBetween val="midCat"/>
        <c:majorUnit val="1"/>
      </c:valAx>
      <c:valAx>
        <c:axId val="1113189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1317376"/>
        <c:crosses val="autoZero"/>
        <c:crossBetween val="midCat"/>
      </c:valAx>
      <c:spPr>
        <a:solidFill>
          <a:schemeClr val="accent3">
            <a:lumMod val="20000"/>
            <a:lumOff val="80000"/>
          </a:schemeClr>
        </a:solidFill>
        <a:ln>
          <a:solidFill>
            <a:schemeClr val="accent2">
              <a:lumMod val="40000"/>
              <a:lumOff val="60000"/>
            </a:schemeClr>
          </a:solidFill>
        </a:ln>
      </c:spPr>
    </c:plotArea>
    <c:legend>
      <c:legendPos val="b"/>
      <c:layout>
        <c:manualLayout>
          <c:xMode val="edge"/>
          <c:yMode val="edge"/>
          <c:x val="5.0000027445157719E-2"/>
          <c:y val="0.86072725284339457"/>
          <c:w val="0.89999994510968462"/>
          <c:h val="0.1392727471566054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uk-U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5</Pages>
  <Words>7677</Words>
  <Characters>4377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~~~</dc:creator>
  <cp:lastModifiedBy>Admin</cp:lastModifiedBy>
  <cp:revision>294</cp:revision>
  <dcterms:created xsi:type="dcterms:W3CDTF">2015-04-07T15:08:00Z</dcterms:created>
  <dcterms:modified xsi:type="dcterms:W3CDTF">2016-05-10T11:22:00Z</dcterms:modified>
</cp:coreProperties>
</file>