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38" w:rsidRDefault="002A77B4" w:rsidP="002A77B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2A7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Понятийное </w:t>
      </w:r>
      <w:proofErr w:type="spellStart"/>
      <w:r w:rsidRPr="002A7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алгоритимческое</w:t>
      </w:r>
      <w:proofErr w:type="spellEnd"/>
      <w:r w:rsidRPr="002A7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мышление (понятия) - алгоритмический</w:t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интеллект</w:t>
      </w:r>
    </w:p>
    <w:bookmarkEnd w:id="0"/>
    <w:p w:rsidR="002A77B4" w:rsidRPr="002A77B4" w:rsidRDefault="002A77B4" w:rsidP="002A77B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Понятийное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алгоритимческое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выступает предметом исследования формальной логики, поскольку включает, в отличие от динамического интеллекта, некую априорную основу. Можно полностью согласиться с Л.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Ительсоном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аспекте "обрыва"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формального мышления  с  источником  структурных  отражений  —  реальностью, поскольку в формальном мышлении...</w:t>
      </w:r>
      <w:r w:rsidRPr="002A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начинает  выглядеть  как  чистое  «творение  духа».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 тем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это  только  так изображаются  и  формулируются  итоги  деятельности  мышления.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 само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оно,  как  мы  видели,  протекает  теми  же путями  и  функционирует  теми  же  способами,  что  и  отражательная  деятельность  на  предыдущих  ступенях.  И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 как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там,  мы  видим  анализ  отношений  объектов и  синтез  выявленных  свойств,  абстрагирование  этих свойств  и  обобщение  их  в  форме  идеальных  объектов с  такими  свойствами.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на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ступени  структурного  отражения  объектами  этих  процессов  являются  уже  отношения  понятий  и  высказываний,  представляющие итоги  всех  предшествующих  ступеней  познавательных процессов.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 особенности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 содержания  (отражает  пятую  степень  отражения)  и  его  формы  (реализуется  в  переменных,  операторах  и  формах).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Нетрудно  заметить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  здесь  уже  возникают  отношения  «шестой  степени».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 отношения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формальных  отношений  образуют  иерархические  системы.  Эти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иерархические  системы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формальных  отношений  называют  знаковыми  структурами  или  просто  структурами.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 построения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использования  таких  структур  из  логических  форм  называют  формальным  мышлением.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Нетрудно  заметить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сходство  между  теорией  и  структурой.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 строится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 же,  как  теория  —  путем  выведения.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так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же,  как  теория,  она  представляет  собой иерархическую  систему.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в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теории  фигурируют понятия  и  термины,  суждения  и  высказывания,  а  в структуре  —  переменные,  операторы  и  формы. 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строится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путем  выведения  из  данных  понятий,  суждений  и  высказываний  всех  возможных  новых понятий,  суждений  и  высказываний  по  определенным формальным  правилам.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отображает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таким  образом,  все  связи,  имеющиеся  между  данной  совокупностью  понятий,  суждений  и  высказываний.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 структура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 путем  выведения  самих  возможных  правил  выведения,  т.е. 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 форм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которых  может  протекать  выведение  одних  понятий,  суждений  или  высказываний из  других.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 образом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структура  отображает  связи,  существующие  между  всевозможными  логическими  связями.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составляет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логику  логики  (как  это  иногда  называют металогику,  т.е.  «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сверхлогику</w:t>
      </w:r>
      <w:proofErr w:type="spellEnd"/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внелогику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lang w:eastAsia="ru-RU"/>
        </w:rPr>
        <w:t>»),  или  теорию  теорий  (метатеорию</w:t>
      </w:r>
      <w:r w:rsidRPr="002A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7B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Алгоритмическое </w:t>
      </w:r>
      <w:proofErr w:type="gramStart"/>
      <w:r w:rsidRPr="002A77B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мышление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как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функция направлено на построение схем решения задач (алгоритмов), отличающихся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формализованностью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логичностью ясностью, инструктивностью. Для перехода от построения схем к практике функционально привязана воля, которая опосредует связи между понятийным (алгоритмическим) мышлением и практическим интеллектом (операционным, или же эмпирическим сознанием). Воля интегрирует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перцептуальные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аттенционные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составляющие операционного мышления, формируя основу для запечатления, воспроизведения, забывания/вытеснения опыта, концентрации сознания на безусловной основе, что дает основание высказать мотивированную гипотезу насчет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корреспондированности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воли и инстинктов как безусловно-регуляторных поведенческих программ. 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Впрочем, выступая исполнительной по отношению к мышлению функцией, воля при высокому уровне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инстинктуозности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психической системы может становится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гипорефлексивной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автоматизированной функцией, исполнительскими аппаратом архаических биологических программ. Последнее становится предпосылкой для сужения поля осознанного отношения к ситуации и проявлений волюнтаризма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footnoteReference w:id="2"/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Дефицитарность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воли, которую в большинстве случаев принято рассматривать как некую автономную дефектность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footnoteReference w:id="3"/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скорее, стоит интерпретировать как дисфункцию, связанную с "социумом в культуре", т.е. направленностью, иерархией ценностей и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статусно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-ролевой иерархией. Для еще несформированной психической системы (детской, подростковой) дефекты воли объяснимы, исходя из дефектов воли субъектов влияния (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парентальных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фигур, субъектов социализации/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инкультурации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т. п.), у которых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несформированность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"социума в культуре" и "психики в культуре" (см. таблицу) обуславливают применение технологий волевого давления/шантажа и дрессуры для формирования у детей и подростков соответствующих волевых качеств. Впрочем, поскольку все это происходит путем механического насаждения норм и сценариев,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нелегитимированных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высшими уровнями цензуры, то продукты такого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воленасаждения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становятся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интроектами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либо приводят к формированию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симуляционных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поведенческих программ, способствующих сокрытию реальных мотивов при навязанном извне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целедостижении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7B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Память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наряду с перцепцией и апперцепцией, формирует кластер рецептивно-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мнемических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функций, которые в аспекте культурного конструирования способствуют удержанию идентичности в границах пространства и времени. В то же время, такое удержание, выражающееся в тенденции к отстройке внешних и внутренних границ, обуславливает самоограничение социума по линии индивидуальной мыслительной переработки и работы воображения, что способствует консерватизму, традиционализму и преобладанию социального интеллекта над индивидуальным. Акцент на образе "психики-сосуда", свойственный традиционалистской тоталитарности, как нельзя лучше работает на формирование марионеточных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статусно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-ролевых комплексов и корпоративизм в мельчайших индивидуальных действиях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footnoteReference w:id="4"/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Благодаря памяти осуществляется управление </w:t>
      </w:r>
      <w:r w:rsidRPr="002A77B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апперцепцией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2A77B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оперативным восприятием (перцепцией),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которой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предвосприятие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играет ведущую роль, что детерминирует преобладание социальных представлений над индивидуальными мыслительными актами. Для дальневосточных культурных идентичностей (Китай, Вьетнам, Южная и Северная Корея)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социетальная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память может подменять и вытеснять мышление настолько, что осмысление заменяется припоминанием (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реминесценцией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другой стороны,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возобладание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перцепции и апперцепции типично для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феноменалистических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культурных систем, опирающихся на философию эмпиризма, солипсизма, материализма (Великобритания, США, Новая Зеландия)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footnoteReference w:id="5"/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если память как ведущая функция предопределяет господство традиции над субъектом, то восприятие как ведущая функция способствует разрушению всяческих традиций про замене последних релятивными конвенциями (для морали и права последние становятся формами выражения воли в виде привычек и прецедентов).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Конвенциализм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освобождает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мыщление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фундаменталистской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тяжести, тяжеловесности ценностного сознания, что "освобождает" субъекта от значительной степени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рефлексивности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способствуя сосредоточенности как общества, так и индивида на материально-утилитарных, прагматических, технологических аспектах активности. Это создает предпосылки для развития научной (механистической) картины мира и связанных с ней технико-экономических структур и институтов, обеспечивающих доминат в природно-физической, технической, кибернетической реальности. 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Сфокусированность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восприятия и мышления на тех или иных объектах, процессах и проч., обеспечиваемая благодаря воле, содержательно совпадает с функцией внимания. Учитывая зависимость воли от разных уровней цензуры, как высшей, так и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низшей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средней, имеет смысл вести речь и о разных измерениях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аттенционной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функции, в которой в различных изданиях по общей психологии подразделяют на произвольное, непроизвольное и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постпроизвольное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внимание. С нашей точки зрения, произвольное внимание зависит от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иерархизированности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ценностей, которая, в свою очередь, зависит от веры-направленности как (вера определяет устойчивость либо неустойчивость направленности как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генерализованного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вектора движения идентичности в онтологии-карте мировоззрения). Произвольное внимание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обеспечиваться и низшей цензурой (за счет сценарного моделирования поведения субъектами социализации и нормативного давления с их стороны), но такое внимание не располагает внутренней устойчивостью и рассеивается при устранении источника внешнего (репрессивного) воздействия.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другой стороны, непроизвольное внимание сопряжено со структурами бессознательного (инстинкты, нужды, потребности), которые для осуществления экспансии по отношению к объектному миру тоже требуют участия воли, выполняющей, однако, инструментальную, по отношению к инстинкту, функцию. </w:t>
      </w:r>
    </w:p>
    <w:p w:rsidR="002A77B4" w:rsidRPr="002A77B4" w:rsidRDefault="002A77B4" w:rsidP="002A77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7B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Ощущения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фрагментированные и осколочные структуры восприятия (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предвосприятия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являются некими геномами восприятия, поскольку отнесены к целостным объектам, подлежащим идентификации, но фрагментированным благодаря модальности отдельных анализаторов.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Префигуративными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вариациями ощущений являются </w:t>
      </w:r>
      <w:r w:rsidRPr="002A77B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интуиции </w:t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некие предощущения (подобно тому, как ощущения являются, с нашей точки зрения,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предвосприятия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Резонее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контексте данного исследования, использовать термин интуиция во множественном числе. Преобладание двух указанных функций в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психотипе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создает так называемое сумеречное (геномное,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лунарное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сознание, характерное для носителей ряда индо-буддийских культурных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идентитетов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Именно сумеречное сознание отвечает, с одной стороны, спекулятивной метафизике, с другой стороны - мистицизму. Культурные системы, задающие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центрированность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психики на ощущениях либо интуициях, можно, следуя терминологии О.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Вейнингера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footnoteReference w:id="6"/>
      </w:r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можно </w:t>
      </w:r>
      <w:proofErr w:type="gram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определить</w:t>
      </w:r>
      <w:proofErr w:type="gram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геномные (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генидные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т.е. находящиеся в зародышевом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состояиии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вечной потенциальности. В выделенных автором типах социальности </w:t>
      </w:r>
      <w:proofErr w:type="spellStart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генидная</w:t>
      </w:r>
      <w:proofErr w:type="spellEnd"/>
      <w:r w:rsidRPr="002A77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культура соответствует социуму-среде и социуму-агрегату. </w:t>
      </w:r>
    </w:p>
    <w:p w:rsidR="002A77B4" w:rsidRPr="002A77B4" w:rsidRDefault="002A77B4" w:rsidP="002A77B4"/>
    <w:sectPr w:rsidR="002A77B4" w:rsidRPr="002A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DC" w:rsidRDefault="007740DC" w:rsidP="007F78F9">
      <w:pPr>
        <w:spacing w:after="0" w:line="240" w:lineRule="auto"/>
      </w:pPr>
      <w:r>
        <w:separator/>
      </w:r>
    </w:p>
  </w:endnote>
  <w:endnote w:type="continuationSeparator" w:id="0">
    <w:p w:rsidR="007740DC" w:rsidRDefault="007740DC" w:rsidP="007F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DC" w:rsidRDefault="007740DC" w:rsidP="007F78F9">
      <w:pPr>
        <w:spacing w:after="0" w:line="240" w:lineRule="auto"/>
      </w:pPr>
      <w:r>
        <w:separator/>
      </w:r>
    </w:p>
  </w:footnote>
  <w:footnote w:type="continuationSeparator" w:id="0">
    <w:p w:rsidR="007740DC" w:rsidRDefault="007740DC" w:rsidP="007F78F9">
      <w:pPr>
        <w:spacing w:after="0" w:line="240" w:lineRule="auto"/>
      </w:pPr>
      <w:r>
        <w:continuationSeparator/>
      </w:r>
    </w:p>
  </w:footnote>
  <w:footnote w:id="1">
    <w:p w:rsidR="002A77B4" w:rsidRPr="00C415C9" w:rsidRDefault="002A77B4" w:rsidP="002A7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C415C9">
        <w:rPr>
          <w:rFonts w:ascii="Times New Roman" w:hAnsi="Times New Roman"/>
          <w:sz w:val="24"/>
          <w:szCs w:val="24"/>
        </w:rPr>
        <w:t>Ительсон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Л.Б. Курс лекций по общей </w:t>
      </w:r>
      <w:proofErr w:type="gramStart"/>
      <w:r w:rsidRPr="00C415C9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C415C9">
        <w:rPr>
          <w:rFonts w:ascii="Times New Roman" w:hAnsi="Times New Roman"/>
          <w:sz w:val="24"/>
          <w:szCs w:val="24"/>
        </w:rPr>
        <w:t xml:space="preserve"> Мн., Изд-во </w:t>
      </w:r>
      <w:proofErr w:type="spellStart"/>
      <w:r w:rsidRPr="00C415C9">
        <w:rPr>
          <w:rFonts w:ascii="Times New Roman" w:hAnsi="Times New Roman"/>
          <w:sz w:val="24"/>
          <w:szCs w:val="24"/>
        </w:rPr>
        <w:t>Харвест</w:t>
      </w:r>
      <w:proofErr w:type="spellEnd"/>
      <w:r w:rsidRPr="00C415C9">
        <w:rPr>
          <w:rFonts w:ascii="Times New Roman" w:hAnsi="Times New Roman"/>
          <w:sz w:val="24"/>
          <w:szCs w:val="24"/>
        </w:rPr>
        <w:t>, 2000, с.556.</w:t>
      </w:r>
    </w:p>
  </w:footnote>
  <w:footnote w:id="2">
    <w:p w:rsidR="002A77B4" w:rsidRPr="00C415C9" w:rsidRDefault="002A77B4" w:rsidP="002A77B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Впрочем, волюнтаризм резоннее, с точки зрения автора, рассматривать как разновидность </w:t>
      </w:r>
      <w:proofErr w:type="spellStart"/>
      <w:r w:rsidRPr="00C415C9">
        <w:rPr>
          <w:rFonts w:ascii="Times New Roman" w:hAnsi="Times New Roman"/>
          <w:sz w:val="24"/>
          <w:szCs w:val="24"/>
        </w:rPr>
        <w:t>аффектуализма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(аффективного деспотизма), поскольку выраженная неумолимость воли, при </w:t>
      </w:r>
      <w:proofErr w:type="spellStart"/>
      <w:r w:rsidRPr="00C415C9">
        <w:rPr>
          <w:rFonts w:ascii="Times New Roman" w:hAnsi="Times New Roman"/>
          <w:sz w:val="24"/>
          <w:szCs w:val="24"/>
        </w:rPr>
        <w:t>дефицитарности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мышления, обеспечивается преимущественно "страстью" - т.е. тем, чем обычно заменяют название сублимированного инстинкта.</w:t>
      </w:r>
    </w:p>
  </w:footnote>
  <w:footnote w:id="3">
    <w:p w:rsidR="002A77B4" w:rsidRPr="00C415C9" w:rsidRDefault="002A77B4" w:rsidP="002A77B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Нельзя не согласиться с Л.М. </w:t>
      </w:r>
      <w:proofErr w:type="spellStart"/>
      <w:r w:rsidRPr="00C415C9">
        <w:rPr>
          <w:rFonts w:ascii="Times New Roman" w:hAnsi="Times New Roman"/>
          <w:sz w:val="24"/>
          <w:szCs w:val="24"/>
        </w:rPr>
        <w:t>Веккером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утверждающим, что "воля есть высшая форма произвольной регуляции поведения, а именно та, при которой регуляция осуществляется на основе критерия интеллектуальной, эмоционально-нравственной и </w:t>
      </w:r>
      <w:proofErr w:type="spellStart"/>
      <w:r w:rsidRPr="00C415C9">
        <w:rPr>
          <w:rFonts w:ascii="Times New Roman" w:hAnsi="Times New Roman"/>
          <w:sz w:val="24"/>
          <w:szCs w:val="24"/>
        </w:rPr>
        <w:t>общесоциальной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ценности того или иного действия" (</w:t>
      </w:r>
      <w:proofErr w:type="spellStart"/>
      <w:r w:rsidRPr="00C415C9">
        <w:rPr>
          <w:rFonts w:ascii="Times New Roman" w:hAnsi="Times New Roman"/>
          <w:sz w:val="24"/>
          <w:szCs w:val="24"/>
        </w:rPr>
        <w:t>Веккер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Л.М. Психические процессы. В 3 т. Л., 1981. Т.3., с.196). Подлежит уточнению, однако, то, что этими "критериями" выступают </w:t>
      </w:r>
      <w:proofErr w:type="spellStart"/>
      <w:r w:rsidRPr="00C415C9">
        <w:rPr>
          <w:rFonts w:ascii="Times New Roman" w:hAnsi="Times New Roman"/>
          <w:sz w:val="24"/>
          <w:szCs w:val="24"/>
        </w:rPr>
        <w:t>аксиостазисы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культурной системы, от аттрактора до норм включительно; впрочем, нельзя исключать и тех самые безусловно-регуляторные механизмы (инстинкты), которые могут обеспечивать более жесткие варианты волевого "выравнивания" по сравнению с </w:t>
      </w:r>
      <w:proofErr w:type="spellStart"/>
      <w:r w:rsidRPr="00C415C9">
        <w:rPr>
          <w:rFonts w:ascii="Times New Roman" w:hAnsi="Times New Roman"/>
          <w:sz w:val="24"/>
          <w:szCs w:val="24"/>
        </w:rPr>
        <w:t>аксиостазисами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однако, если низшая регуляция лишается </w:t>
      </w:r>
      <w:proofErr w:type="spellStart"/>
      <w:r w:rsidRPr="00C415C9">
        <w:rPr>
          <w:rFonts w:ascii="Times New Roman" w:hAnsi="Times New Roman"/>
          <w:sz w:val="24"/>
          <w:szCs w:val="24"/>
        </w:rPr>
        <w:t>инспирационной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составляющей культурных </w:t>
      </w:r>
      <w:proofErr w:type="spellStart"/>
      <w:r w:rsidRPr="00C415C9">
        <w:rPr>
          <w:rFonts w:ascii="Times New Roman" w:hAnsi="Times New Roman"/>
          <w:sz w:val="24"/>
          <w:szCs w:val="24"/>
        </w:rPr>
        <w:t>аксиостазисов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то в итоге наступает паралич (коллапс) воли. Последняя не может работать беспрерывно, как автомат, без соответствующей </w:t>
      </w:r>
      <w:proofErr w:type="spellStart"/>
      <w:r w:rsidRPr="00C415C9">
        <w:rPr>
          <w:rFonts w:ascii="Times New Roman" w:hAnsi="Times New Roman"/>
          <w:sz w:val="24"/>
          <w:szCs w:val="24"/>
        </w:rPr>
        <w:t>смыслопродуцирующей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подпитки.</w:t>
      </w:r>
    </w:p>
  </w:footnote>
  <w:footnote w:id="4">
    <w:p w:rsidR="002A77B4" w:rsidRPr="00C415C9" w:rsidRDefault="002A77B4" w:rsidP="002A77B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b/>
          <w:sz w:val="24"/>
          <w:szCs w:val="24"/>
        </w:rPr>
        <w:footnoteRef/>
      </w:r>
      <w:r w:rsidRPr="00C415C9">
        <w:rPr>
          <w:rStyle w:val="a6"/>
          <w:rFonts w:ascii="Times New Roman" w:hAnsi="Times New Roman"/>
          <w:b w:val="0"/>
          <w:sz w:val="24"/>
          <w:szCs w:val="24"/>
          <w:shd w:val="clear" w:color="auto" w:fill="FDFEFF"/>
        </w:rPr>
        <w:t xml:space="preserve">Примером такого коллегиального </w:t>
      </w:r>
      <w:proofErr w:type="spellStart"/>
      <w:r w:rsidRPr="00C415C9">
        <w:rPr>
          <w:rStyle w:val="a6"/>
          <w:rFonts w:ascii="Times New Roman" w:hAnsi="Times New Roman"/>
          <w:b w:val="0"/>
          <w:sz w:val="24"/>
          <w:szCs w:val="24"/>
          <w:shd w:val="clear" w:color="auto" w:fill="FDFEFF"/>
        </w:rPr>
        <w:t>корпоратизма</w:t>
      </w:r>
      <w:proofErr w:type="spellEnd"/>
      <w:r w:rsidRPr="00C415C9">
        <w:rPr>
          <w:rStyle w:val="a6"/>
          <w:rFonts w:ascii="Times New Roman" w:hAnsi="Times New Roman"/>
          <w:b w:val="0"/>
          <w:sz w:val="24"/>
          <w:szCs w:val="24"/>
          <w:shd w:val="clear" w:color="auto" w:fill="FDFEFF"/>
        </w:rPr>
        <w:t xml:space="preserve"> могут выступать ринги</w:t>
      </w:r>
      <w:r w:rsidRPr="00C415C9">
        <w:rPr>
          <w:rStyle w:val="apple-converted-space"/>
          <w:rFonts w:ascii="Times New Roman" w:hAnsi="Times New Roman"/>
          <w:b/>
          <w:sz w:val="24"/>
          <w:szCs w:val="24"/>
          <w:shd w:val="clear" w:color="auto" w:fill="FDFEFF"/>
        </w:rPr>
        <w:t> </w:t>
      </w:r>
      <w:r w:rsidRPr="00C415C9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— </w:t>
      </w:r>
      <w:r w:rsidRPr="00C415C9">
        <w:rPr>
          <w:rFonts w:ascii="Times New Roman" w:hAnsi="Times New Roman"/>
          <w:sz w:val="24"/>
          <w:szCs w:val="24"/>
          <w:shd w:val="clear" w:color="auto" w:fill="FDFEFF"/>
        </w:rPr>
        <w:t>организационно-управленческая процедура, практикуемая в японских компаниях. В «Большом японско-русском словаре» под ред. Н.И. Конрада термин «ринги» трактуется как «получение согласия на решение путем опроса без созыва заседания» от «</w:t>
      </w:r>
      <w:proofErr w:type="spellStart"/>
      <w:r w:rsidRPr="00C415C9">
        <w:rPr>
          <w:rFonts w:ascii="Times New Roman" w:hAnsi="Times New Roman"/>
          <w:sz w:val="24"/>
          <w:szCs w:val="24"/>
          <w:shd w:val="clear" w:color="auto" w:fill="FDFEFF"/>
        </w:rPr>
        <w:t>рин</w:t>
      </w:r>
      <w:proofErr w:type="spellEnd"/>
      <w:r w:rsidRPr="00C415C9">
        <w:rPr>
          <w:rFonts w:ascii="Times New Roman" w:hAnsi="Times New Roman"/>
          <w:sz w:val="24"/>
          <w:szCs w:val="24"/>
          <w:shd w:val="clear" w:color="auto" w:fill="FDFEFF"/>
        </w:rPr>
        <w:t>» — спрашивать нижестоящего, «</w:t>
      </w:r>
      <w:proofErr w:type="spellStart"/>
      <w:r w:rsidRPr="00C415C9">
        <w:rPr>
          <w:rFonts w:ascii="Times New Roman" w:hAnsi="Times New Roman"/>
          <w:sz w:val="24"/>
          <w:szCs w:val="24"/>
          <w:shd w:val="clear" w:color="auto" w:fill="FDFEFF"/>
        </w:rPr>
        <w:t>ги</w:t>
      </w:r>
      <w:proofErr w:type="spellEnd"/>
      <w:r w:rsidRPr="00C415C9">
        <w:rPr>
          <w:rFonts w:ascii="Times New Roman" w:hAnsi="Times New Roman"/>
          <w:sz w:val="24"/>
          <w:szCs w:val="24"/>
          <w:shd w:val="clear" w:color="auto" w:fill="FDFEFF"/>
        </w:rPr>
        <w:t>» — совещаться, обсуждать, обдумывать.</w:t>
      </w:r>
      <w:r w:rsidRPr="00C415C9">
        <w:rPr>
          <w:rStyle w:val="apple-converted-space"/>
          <w:rFonts w:ascii="Times New Roman" w:hAnsi="Times New Roman"/>
          <w:sz w:val="24"/>
          <w:szCs w:val="24"/>
          <w:shd w:val="clear" w:color="auto" w:fill="FDFEFF"/>
        </w:rPr>
        <w:t> </w:t>
      </w:r>
      <w:r w:rsidRPr="00C415C9">
        <w:rPr>
          <w:rFonts w:ascii="Times New Roman" w:hAnsi="Times New Roman"/>
          <w:sz w:val="24"/>
          <w:szCs w:val="24"/>
        </w:rPr>
        <w:br/>
      </w:r>
      <w:r w:rsidRPr="00C415C9">
        <w:rPr>
          <w:rFonts w:ascii="Times New Roman" w:hAnsi="Times New Roman"/>
          <w:sz w:val="24"/>
          <w:szCs w:val="24"/>
          <w:shd w:val="clear" w:color="auto" w:fill="FDFEFF"/>
        </w:rPr>
        <w:t xml:space="preserve">В основу процедуры «ринги» положены принципы, благодаря которым процессы принятия управленческих решений получают высокий уровень социально-психологического </w:t>
      </w:r>
      <w:proofErr w:type="spellStart"/>
      <w:r w:rsidRPr="00C415C9">
        <w:rPr>
          <w:rFonts w:ascii="Times New Roman" w:hAnsi="Times New Roman"/>
          <w:sz w:val="24"/>
          <w:szCs w:val="24"/>
          <w:shd w:val="clear" w:color="auto" w:fill="FDFEFF"/>
        </w:rPr>
        <w:t>опосредования</w:t>
      </w:r>
      <w:proofErr w:type="spellEnd"/>
      <w:r w:rsidRPr="00C415C9">
        <w:rPr>
          <w:rFonts w:ascii="Times New Roman" w:hAnsi="Times New Roman"/>
          <w:sz w:val="24"/>
          <w:szCs w:val="24"/>
          <w:shd w:val="clear" w:color="auto" w:fill="FDFEFF"/>
        </w:rPr>
        <w:t xml:space="preserve"> и поддержки со стороны персонала. Такой подход обеспечивает эффективность деятельности организации, измеряемую не только успехом конечного результата, но и наличием общей удовлетворенности всех участников, включенных в единый творческий процесс поиска оптимального решения [http://psyfactor.org/personal/personal16-02.htm].</w:t>
      </w:r>
      <w:r w:rsidRPr="00C415C9">
        <w:rPr>
          <w:rStyle w:val="apple-converted-space"/>
          <w:rFonts w:ascii="Times New Roman" w:hAnsi="Times New Roman"/>
          <w:sz w:val="24"/>
          <w:szCs w:val="24"/>
          <w:shd w:val="clear" w:color="auto" w:fill="FDFEFF"/>
        </w:rPr>
        <w:t> </w:t>
      </w:r>
    </w:p>
  </w:footnote>
  <w:footnote w:id="5">
    <w:p w:rsidR="002A77B4" w:rsidRPr="00C415C9" w:rsidRDefault="002A77B4" w:rsidP="002A77B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>Идеология морского могущества, связанная с переселением евреев в Англию в период диктатуры Кромвеля благодаря инициативе Бен-</w:t>
      </w:r>
      <w:proofErr w:type="spellStart"/>
      <w:r w:rsidRPr="00C415C9">
        <w:rPr>
          <w:rFonts w:ascii="Times New Roman" w:hAnsi="Times New Roman"/>
          <w:sz w:val="24"/>
          <w:szCs w:val="24"/>
        </w:rPr>
        <w:t>Израэля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легитимировала появление в Англии многочисленных банкирских домов и финансовой олигархии, опиравшейся на режим террористической либеральной диктатуры собственников по отношению к </w:t>
      </w:r>
      <w:proofErr w:type="spellStart"/>
      <w:r w:rsidRPr="00C415C9">
        <w:rPr>
          <w:rFonts w:ascii="Times New Roman" w:hAnsi="Times New Roman"/>
          <w:sz w:val="24"/>
          <w:szCs w:val="24"/>
        </w:rPr>
        <w:t>несобственникам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. Для британцев </w:t>
      </w:r>
      <w:r w:rsidRPr="00C415C9">
        <w:rPr>
          <w:rFonts w:ascii="Times New Roman" w:hAnsi="Times New Roman"/>
          <w:sz w:val="24"/>
          <w:szCs w:val="24"/>
          <w:lang w:val="en-US"/>
        </w:rPr>
        <w:t>common</w:t>
      </w:r>
      <w:r w:rsidRPr="00C415C9">
        <w:rPr>
          <w:rFonts w:ascii="Times New Roman" w:hAnsi="Times New Roman"/>
          <w:sz w:val="24"/>
          <w:szCs w:val="24"/>
        </w:rPr>
        <w:t xml:space="preserve"> </w:t>
      </w:r>
      <w:r w:rsidRPr="00C415C9">
        <w:rPr>
          <w:rFonts w:ascii="Times New Roman" w:hAnsi="Times New Roman"/>
          <w:sz w:val="24"/>
          <w:szCs w:val="24"/>
          <w:lang w:val="en-US"/>
        </w:rPr>
        <w:t>sense</w:t>
      </w:r>
      <w:r w:rsidRPr="00C415C9">
        <w:rPr>
          <w:rFonts w:ascii="Times New Roman" w:hAnsi="Times New Roman"/>
          <w:sz w:val="24"/>
          <w:szCs w:val="24"/>
        </w:rPr>
        <w:t xml:space="preserve"> является отрицанием истины как таковой и отождествлением истины и полезности; потому то, что становится полезным для промышленной и финансовой олигархии, представляется </w:t>
      </w:r>
      <w:proofErr w:type="spellStart"/>
      <w:r w:rsidRPr="00C415C9">
        <w:rPr>
          <w:rFonts w:ascii="Times New Roman" w:hAnsi="Times New Roman"/>
          <w:sz w:val="24"/>
          <w:szCs w:val="24"/>
        </w:rPr>
        <w:t>одновременнои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и истинным, и действительным. У Рассела с его логическим позитивизмом единственной реальностью становятся единицы логических атомов и нули пустот, а онтология позитивизма выступает неким прологом </w:t>
      </w:r>
      <w:proofErr w:type="spellStart"/>
      <w:r w:rsidRPr="00C415C9">
        <w:rPr>
          <w:rFonts w:ascii="Times New Roman" w:hAnsi="Times New Roman"/>
          <w:sz w:val="24"/>
          <w:szCs w:val="24"/>
        </w:rPr>
        <w:t>киберрасизма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в котором машина с ее точностью и </w:t>
      </w:r>
      <w:proofErr w:type="spellStart"/>
      <w:r w:rsidRPr="00C415C9">
        <w:rPr>
          <w:rFonts w:ascii="Times New Roman" w:hAnsi="Times New Roman"/>
          <w:sz w:val="24"/>
          <w:szCs w:val="24"/>
        </w:rPr>
        <w:t>операциональной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безошибочностью вычислений становится эталонным прототипом человека. Именно поэтому эталонный </w:t>
      </w:r>
      <w:proofErr w:type="spellStart"/>
      <w:r w:rsidRPr="00C415C9">
        <w:rPr>
          <w:rFonts w:ascii="Times New Roman" w:hAnsi="Times New Roman"/>
          <w:sz w:val="24"/>
          <w:szCs w:val="24"/>
        </w:rPr>
        <w:t>этноантропотип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как образ эталонного </w:t>
      </w:r>
      <w:proofErr w:type="gramStart"/>
      <w:r w:rsidRPr="00C415C9">
        <w:rPr>
          <w:rFonts w:ascii="Times New Roman" w:hAnsi="Times New Roman"/>
          <w:sz w:val="24"/>
          <w:szCs w:val="24"/>
        </w:rPr>
        <w:t xml:space="preserve">человека  </w:t>
      </w:r>
      <w:proofErr w:type="spellStart"/>
      <w:r w:rsidRPr="00C415C9">
        <w:rPr>
          <w:rFonts w:ascii="Times New Roman" w:hAnsi="Times New Roman"/>
          <w:sz w:val="24"/>
          <w:szCs w:val="24"/>
        </w:rPr>
        <w:t>человека</w:t>
      </w:r>
      <w:proofErr w:type="spellEnd"/>
      <w:proofErr w:type="gramEnd"/>
      <w:r w:rsidRPr="00C415C9">
        <w:rPr>
          <w:rFonts w:ascii="Times New Roman" w:hAnsi="Times New Roman"/>
          <w:sz w:val="24"/>
          <w:szCs w:val="24"/>
        </w:rPr>
        <w:t xml:space="preserve"> в англо-саксонской культурной системе подменяется образом </w:t>
      </w:r>
      <w:proofErr w:type="spellStart"/>
      <w:r w:rsidRPr="00C415C9">
        <w:rPr>
          <w:rFonts w:ascii="Times New Roman" w:hAnsi="Times New Roman"/>
          <w:sz w:val="24"/>
          <w:szCs w:val="24"/>
        </w:rPr>
        <w:t>киберсистемы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так что </w:t>
      </w:r>
      <w:proofErr w:type="spellStart"/>
      <w:r w:rsidRPr="00C415C9">
        <w:rPr>
          <w:rFonts w:ascii="Times New Roman" w:hAnsi="Times New Roman"/>
          <w:sz w:val="24"/>
          <w:szCs w:val="24"/>
        </w:rPr>
        <w:t>форимруется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 общество кибернетического нигилизма, в котором единицы цифровых кодов машин и компьютерных программ сосуществуют с пустым миром.</w:t>
      </w:r>
    </w:p>
  </w:footnote>
  <w:footnote w:id="6">
    <w:p w:rsidR="002A77B4" w:rsidRPr="00C415C9" w:rsidRDefault="002A77B4" w:rsidP="002A7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C415C9">
        <w:rPr>
          <w:rFonts w:ascii="Times New Roman" w:hAnsi="Times New Roman"/>
          <w:sz w:val="24"/>
          <w:szCs w:val="24"/>
        </w:rPr>
        <w:t>Вейнингер</w:t>
      </w:r>
      <w:proofErr w:type="spellEnd"/>
      <w:r w:rsidRPr="00C415C9">
        <w:rPr>
          <w:rFonts w:ascii="Times New Roman" w:hAnsi="Times New Roman"/>
          <w:sz w:val="24"/>
          <w:szCs w:val="24"/>
        </w:rPr>
        <w:t xml:space="preserve">, Пол и </w:t>
      </w:r>
      <w:proofErr w:type="gramStart"/>
      <w:r w:rsidRPr="00C415C9">
        <w:rPr>
          <w:rFonts w:ascii="Times New Roman" w:hAnsi="Times New Roman"/>
          <w:sz w:val="24"/>
          <w:szCs w:val="24"/>
        </w:rPr>
        <w:t>характер.-</w:t>
      </w:r>
      <w:proofErr w:type="gramEnd"/>
      <w:r w:rsidRPr="00C415C9">
        <w:rPr>
          <w:rFonts w:ascii="Times New Roman" w:hAnsi="Times New Roman"/>
          <w:sz w:val="24"/>
          <w:szCs w:val="24"/>
        </w:rPr>
        <w:t xml:space="preserve"> М.: Республика, 1992.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C"/>
    <w:rsid w:val="001835C7"/>
    <w:rsid w:val="001C3BB8"/>
    <w:rsid w:val="002A77B4"/>
    <w:rsid w:val="003637CC"/>
    <w:rsid w:val="00631438"/>
    <w:rsid w:val="007740DC"/>
    <w:rsid w:val="007F78F9"/>
    <w:rsid w:val="00836A49"/>
    <w:rsid w:val="00C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2D12-1408-4756-93DE-B51E73C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F78F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F78F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F78F9"/>
    <w:rPr>
      <w:vertAlign w:val="superscript"/>
    </w:rPr>
  </w:style>
  <w:style w:type="character" w:customStyle="1" w:styleId="w">
    <w:name w:val="w"/>
    <w:basedOn w:val="a0"/>
    <w:rsid w:val="007F78F9"/>
  </w:style>
  <w:style w:type="character" w:customStyle="1" w:styleId="apple-converted-space">
    <w:name w:val="apple-converted-space"/>
    <w:rsid w:val="002A77B4"/>
  </w:style>
  <w:style w:type="character" w:styleId="a6">
    <w:name w:val="Strong"/>
    <w:basedOn w:val="a0"/>
    <w:uiPriority w:val="22"/>
    <w:qFormat/>
    <w:rsid w:val="002A7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1438</Words>
  <Characters>8197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5</cp:revision>
  <dcterms:created xsi:type="dcterms:W3CDTF">2016-05-29T18:58:00Z</dcterms:created>
  <dcterms:modified xsi:type="dcterms:W3CDTF">2016-05-29T19:16:00Z</dcterms:modified>
</cp:coreProperties>
</file>