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7E" w:rsidRPr="00412D7E" w:rsidRDefault="00412D7E" w:rsidP="00412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D7E">
        <w:rPr>
          <w:rFonts w:ascii="Times New Roman" w:hAnsi="Times New Roman" w:cs="Times New Roman"/>
          <w:sz w:val="24"/>
          <w:szCs w:val="24"/>
        </w:rPr>
        <w:t>Біла С.О. Стратегічні пріоритети забезпечення енергетичної безпеки України в умовах євроінтеграції // Перспективи управлінської діяльності суб’єктів господарювання в контексті економічної безпеки: Матеріали ІV Міжнародної науково-практичної конференції, Черкаси, 25 – 26 березня 2016 р. – Черкаси: вид-во ПП Чабаненко Ю.А., 2016. – с. 197 – 201</w:t>
      </w:r>
      <w:r w:rsidR="001B6BC8">
        <w:rPr>
          <w:rFonts w:ascii="Times New Roman" w:hAnsi="Times New Roman" w:cs="Times New Roman"/>
          <w:sz w:val="24"/>
          <w:szCs w:val="24"/>
        </w:rPr>
        <w:t>6</w:t>
      </w:r>
      <w:r w:rsidRPr="00412D7E">
        <w:rPr>
          <w:rFonts w:ascii="Times New Roman" w:hAnsi="Times New Roman" w:cs="Times New Roman"/>
          <w:sz w:val="24"/>
          <w:szCs w:val="24"/>
        </w:rPr>
        <w:t>.</w:t>
      </w:r>
    </w:p>
    <w:p w:rsidR="00412D7E" w:rsidRDefault="00412D7E" w:rsidP="00DB4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4082" w:rsidRDefault="00DB4082" w:rsidP="00DB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33 (075.8): 339.9 (477)</w:t>
      </w:r>
    </w:p>
    <w:p w:rsidR="00DB4082" w:rsidRPr="00301FAB" w:rsidRDefault="00DB4082" w:rsidP="00DB40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1FAB">
        <w:rPr>
          <w:rFonts w:ascii="Times New Roman" w:hAnsi="Times New Roman" w:cs="Times New Roman"/>
          <w:i/>
          <w:sz w:val="28"/>
          <w:szCs w:val="28"/>
        </w:rPr>
        <w:t>БІЛА С.О., д.н.д.у., професор,</w:t>
      </w:r>
    </w:p>
    <w:p w:rsidR="00DB4082" w:rsidRPr="00301FAB" w:rsidRDefault="00DB4082" w:rsidP="00DB40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1FAB">
        <w:rPr>
          <w:rFonts w:ascii="Times New Roman" w:hAnsi="Times New Roman" w:cs="Times New Roman"/>
          <w:i/>
          <w:sz w:val="28"/>
          <w:szCs w:val="28"/>
        </w:rPr>
        <w:t>заслужений економіст України,</w:t>
      </w:r>
    </w:p>
    <w:p w:rsidR="00DB4082" w:rsidRPr="00301FAB" w:rsidRDefault="00DB4082" w:rsidP="00DB40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1FAB">
        <w:rPr>
          <w:rFonts w:ascii="Times New Roman" w:hAnsi="Times New Roman" w:cs="Times New Roman"/>
          <w:i/>
          <w:sz w:val="28"/>
          <w:szCs w:val="28"/>
        </w:rPr>
        <w:t>навчально-науковий інститут Міжнародних відносин</w:t>
      </w:r>
    </w:p>
    <w:p w:rsidR="00DB4082" w:rsidRPr="00301FAB" w:rsidRDefault="00DB4082" w:rsidP="00DB40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1FAB">
        <w:rPr>
          <w:rFonts w:ascii="Times New Roman" w:hAnsi="Times New Roman" w:cs="Times New Roman"/>
          <w:i/>
          <w:sz w:val="28"/>
          <w:szCs w:val="28"/>
        </w:rPr>
        <w:t>Національний авіаційний університет (ННІМВ НАУ)</w:t>
      </w:r>
    </w:p>
    <w:p w:rsidR="000B184D" w:rsidRDefault="000B184D" w:rsidP="000B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84D" w:rsidRDefault="000B184D" w:rsidP="0023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СТРАТЕГІЧНІ ПРІОРИТЕТИ ЗАБЕЗПЕЧЕННЯ</w:t>
      </w:r>
    </w:p>
    <w:p w:rsidR="00565FFB" w:rsidRDefault="000B184D" w:rsidP="0023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ЕНЕРГЕТИЧНОЇ БЕЗПЕКИ УКРАЇНИ В УМОВАХ ЄВРОІНТЕГРАЦІЇ</w:t>
      </w:r>
    </w:p>
    <w:p w:rsidR="00231505" w:rsidRDefault="00231505" w:rsidP="00565FF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65FFB" w:rsidRPr="00462F0F" w:rsidRDefault="00231505" w:rsidP="00462F0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2F0F">
        <w:rPr>
          <w:rFonts w:ascii="Times New Roman" w:hAnsi="Times New Roman" w:cs="Times New Roman"/>
          <w:noProof/>
          <w:sz w:val="28"/>
          <w:szCs w:val="28"/>
        </w:rPr>
        <w:t>Е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нергетична безпека країни впливає на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конкурентоспроможність продукції національного виробництва на світових ринках, а також на конкурентоспроможність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національної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економіки </w:t>
      </w:r>
      <w:r w:rsidR="0037334C" w:rsidRPr="00462F0F">
        <w:rPr>
          <w:rFonts w:ascii="Times New Roman" w:hAnsi="Times New Roman" w:cs="Times New Roman"/>
          <w:noProof/>
          <w:sz w:val="28"/>
          <w:szCs w:val="28"/>
        </w:rPr>
        <w:t>в умовах</w:t>
      </w:r>
      <w:r w:rsidR="00D82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глобаліз</w:t>
      </w:r>
      <w:r w:rsidR="0037334C" w:rsidRPr="00462F0F">
        <w:rPr>
          <w:rFonts w:ascii="Times New Roman" w:hAnsi="Times New Roman" w:cs="Times New Roman"/>
          <w:noProof/>
          <w:sz w:val="28"/>
          <w:szCs w:val="28"/>
        </w:rPr>
        <w:t>ації.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рівень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енергетичн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ої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 безпек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и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здатність к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раїни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протистояти «енергетичним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 стрес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ам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37334C" w:rsidRPr="00462F0F">
        <w:rPr>
          <w:rFonts w:ascii="Times New Roman" w:hAnsi="Times New Roman" w:cs="Times New Roman"/>
          <w:noProof/>
          <w:sz w:val="28"/>
          <w:szCs w:val="28"/>
        </w:rPr>
        <w:t xml:space="preserve">особливу увагу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звертають потенційні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внутрішні та іноземні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інвестори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, оцінюючи інвестиційну привабливість галузей та секторів національного господарства. Питання забезпечення енергетичної безпеки стає для України надзвичайно актуальним, адже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після підписання Угоди про асоціацію з ЄС, імпорт традиційних енергетичних ресурсів (природно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го газу, нафти), часто розгляда</w:t>
      </w:r>
      <w:r w:rsidR="00301FAB" w:rsidRPr="00462F0F">
        <w:rPr>
          <w:rFonts w:ascii="Times New Roman" w:hAnsi="Times New Roman" w:cs="Times New Roman"/>
          <w:noProof/>
          <w:sz w:val="28"/>
          <w:szCs w:val="28"/>
        </w:rPr>
        <w:t>ється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 xml:space="preserve"> імпортерами (зокрема – РФ) як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зас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іб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«політичного</w:t>
      </w:r>
      <w:r w:rsidR="00301FAB" w:rsidRPr="00462F0F">
        <w:rPr>
          <w:rFonts w:ascii="Times New Roman" w:hAnsi="Times New Roman" w:cs="Times New Roman"/>
          <w:noProof/>
          <w:sz w:val="28"/>
          <w:szCs w:val="28"/>
        </w:rPr>
        <w:t xml:space="preserve"> тиску і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шантажу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»</w:t>
      </w:r>
      <w:r w:rsidR="00301FAB" w:rsidRPr="00462F0F">
        <w:rPr>
          <w:rFonts w:ascii="Times New Roman" w:hAnsi="Times New Roman" w:cs="Times New Roman"/>
          <w:noProof/>
          <w:sz w:val="28"/>
          <w:szCs w:val="28"/>
        </w:rPr>
        <w:t xml:space="preserve">. «Критичний імпорт» енергоносіїв створює 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 xml:space="preserve">ризики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прий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 xml:space="preserve">няття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рішен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ь, які мо</w:t>
      </w:r>
      <w:r w:rsidR="00301FAB" w:rsidRPr="00462F0F">
        <w:rPr>
          <w:rFonts w:ascii="Times New Roman" w:hAnsi="Times New Roman" w:cs="Times New Roman"/>
          <w:noProof/>
          <w:sz w:val="28"/>
          <w:szCs w:val="28"/>
        </w:rPr>
        <w:t xml:space="preserve">жуть суперечити 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національним інтересам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 xml:space="preserve"> держави</w:t>
      </w:r>
      <w:r w:rsidR="00565FFB" w:rsidRPr="00462F0F">
        <w:rPr>
          <w:rFonts w:ascii="Times New Roman" w:hAnsi="Times New Roman" w:cs="Times New Roman"/>
          <w:noProof/>
          <w:sz w:val="28"/>
          <w:szCs w:val="28"/>
        </w:rPr>
        <w:t>.</w:t>
      </w:r>
      <w:r w:rsidR="0037334C" w:rsidRPr="00462F0F">
        <w:rPr>
          <w:rFonts w:ascii="Times New Roman" w:hAnsi="Times New Roman" w:cs="Times New Roman"/>
          <w:noProof/>
          <w:sz w:val="28"/>
          <w:szCs w:val="28"/>
        </w:rPr>
        <w:t xml:space="preserve"> За таких обставин перед 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Україною постає виклик – забезпечити енергетичну безпеку, використовуючи переваги відкритості економіки</w:t>
      </w:r>
      <w:r w:rsidR="00301FAB" w:rsidRPr="00462F0F">
        <w:rPr>
          <w:rFonts w:ascii="Times New Roman" w:hAnsi="Times New Roman" w:cs="Times New Roman"/>
          <w:noProof/>
          <w:sz w:val="28"/>
          <w:szCs w:val="28"/>
        </w:rPr>
        <w:t xml:space="preserve"> та 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>євроінтеграці</w:t>
      </w:r>
      <w:r w:rsidR="00301FAB" w:rsidRPr="00462F0F">
        <w:rPr>
          <w:rFonts w:ascii="Times New Roman" w:hAnsi="Times New Roman" w:cs="Times New Roman"/>
          <w:noProof/>
          <w:sz w:val="28"/>
          <w:szCs w:val="28"/>
        </w:rPr>
        <w:t>ї</w:t>
      </w:r>
      <w:r w:rsidR="00456671" w:rsidRPr="00462F0F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37334C" w:rsidRPr="00462F0F" w:rsidRDefault="0037334C" w:rsidP="00462F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Енергетична безпека країни </w:t>
      </w:r>
      <w:r w:rsidR="00301FAB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розглядається фахівцями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як </w:t>
      </w:r>
      <w:r w:rsidR="00E66F9F" w:rsidRPr="00462F0F">
        <w:rPr>
          <w:rFonts w:ascii="Times New Roman" w:eastAsia="Calibri" w:hAnsi="Times New Roman" w:cs="Times New Roman"/>
          <w:noProof/>
          <w:sz w:val="28"/>
          <w:szCs w:val="28"/>
        </w:rPr>
        <w:t>с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истемне, багатоі</w:t>
      </w:r>
      <w:r w:rsidR="0071106F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єрархічне </w:t>
      </w:r>
      <w:r w:rsidR="00301FAB" w:rsidRPr="00462F0F">
        <w:rPr>
          <w:rFonts w:ascii="Times New Roman" w:eastAsia="Calibri" w:hAnsi="Times New Roman" w:cs="Times New Roman"/>
          <w:noProof/>
          <w:sz w:val="28"/>
          <w:szCs w:val="28"/>
        </w:rPr>
        <w:t>явище. Е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нергетична безпека передбачає захищ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сть національного господарства країни (у т.ч. громадян, домашні</w:t>
      </w:r>
      <w:r w:rsidR="00301FAB" w:rsidRPr="00462F0F">
        <w:rPr>
          <w:rFonts w:ascii="Times New Roman" w:eastAsia="Calibri" w:hAnsi="Times New Roman" w:cs="Times New Roman"/>
          <w:noProof/>
          <w:sz w:val="28"/>
          <w:szCs w:val="28"/>
        </w:rPr>
        <w:t>х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господарств, бізнес-структур, підприємств</w:t>
      </w:r>
      <w:r w:rsidR="00301FAB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та різних інституцій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) від загроз дефіциту енергоносіїв, від припинення/зривів постачання енергії та паливно-енергетичних ресурсів, необхідних для відтворення суспільного виробництва та безпеки життєдіяльності людини на</w:t>
      </w:r>
      <w:r w:rsidR="00E66F9F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всій території країни. Енергетична безпека має існувати як 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за нормальних/повсякденних умов функціонування національної економіки, так і </w:t>
      </w:r>
      <w:r w:rsidR="00E66F9F"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у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надзвичайних ситуаціях. У нормальних умовах потреби в енергії мають забезпечуватися у повному обсязі, а у надзвичайних </w:t>
      </w:r>
      <w:r w:rsidR="00C80372"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обставинах 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– </w:t>
      </w:r>
      <w:r w:rsidR="00C80372"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щонайменше, 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у мінімально необхідному обсязі, що дозволить підтримувати </w:t>
      </w:r>
      <w:r w:rsidR="0071106F"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функціонування 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соціально-економічної системи </w:t>
      </w:r>
      <w:r w:rsidR="0071106F"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країни на граничному рівні розвитку</w:t>
      </w:r>
      <w:r w:rsidRPr="00462F0F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.</w:t>
      </w:r>
    </w:p>
    <w:p w:rsidR="00A21289" w:rsidRPr="00462F0F" w:rsidRDefault="0071106F" w:rsidP="0046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2F0F">
        <w:rPr>
          <w:rFonts w:ascii="Times New Roman" w:hAnsi="Times New Roman"/>
          <w:sz w:val="28"/>
          <w:szCs w:val="28"/>
        </w:rPr>
        <w:t>В Україні н</w:t>
      </w:r>
      <w:r w:rsidR="00A21289" w:rsidRPr="00462F0F">
        <w:rPr>
          <w:rFonts w:ascii="Times New Roman" w:hAnsi="Times New Roman"/>
          <w:sz w:val="28"/>
          <w:szCs w:val="28"/>
        </w:rPr>
        <w:t xml:space="preserve">айбільш енергоємними галузями промисловості є гірничо-металургійний комплекс, хімічна промисловість, цементна галузь, машинобудування. Підприємства гірничо-металургійного комплексу (ГМК) України виробляють енергоємну продукцію, експортують її, а отже – </w:t>
      </w:r>
      <w:r w:rsidR="00A21289" w:rsidRPr="00462F0F">
        <w:rPr>
          <w:rFonts w:ascii="Times New Roman" w:hAnsi="Times New Roman"/>
          <w:sz w:val="28"/>
          <w:szCs w:val="28"/>
        </w:rPr>
        <w:lastRenderedPageBreak/>
        <w:t>забезпечують надходження валюти до країни. Натомість, технологія виробництва металу з чавуну (</w:t>
      </w:r>
      <w:r w:rsidRPr="00462F0F">
        <w:rPr>
          <w:rFonts w:ascii="Times New Roman" w:hAnsi="Times New Roman"/>
          <w:sz w:val="28"/>
          <w:szCs w:val="28"/>
        </w:rPr>
        <w:t xml:space="preserve">а також </w:t>
      </w:r>
      <w:r w:rsidR="00A21289" w:rsidRPr="00462F0F">
        <w:rPr>
          <w:rFonts w:ascii="Times New Roman" w:hAnsi="Times New Roman"/>
          <w:sz w:val="28"/>
          <w:szCs w:val="28"/>
        </w:rPr>
        <w:t>напівфабрикатів</w:t>
      </w:r>
      <w:r w:rsidRPr="00462F0F">
        <w:rPr>
          <w:rFonts w:ascii="Times New Roman" w:hAnsi="Times New Roman"/>
          <w:sz w:val="28"/>
          <w:szCs w:val="28"/>
        </w:rPr>
        <w:t xml:space="preserve"> металургійної продукції</w:t>
      </w:r>
      <w:r w:rsidR="00A21289" w:rsidRPr="00462F0F">
        <w:rPr>
          <w:rFonts w:ascii="Times New Roman" w:hAnsi="Times New Roman"/>
          <w:sz w:val="28"/>
          <w:szCs w:val="28"/>
        </w:rPr>
        <w:t xml:space="preserve">) </w:t>
      </w:r>
      <w:r w:rsidRPr="00462F0F">
        <w:rPr>
          <w:rFonts w:ascii="Times New Roman" w:hAnsi="Times New Roman"/>
          <w:sz w:val="28"/>
          <w:szCs w:val="28"/>
        </w:rPr>
        <w:t>залишається</w:t>
      </w:r>
      <w:r w:rsidR="00A21289" w:rsidRPr="00462F0F">
        <w:rPr>
          <w:rFonts w:ascii="Times New Roman" w:hAnsi="Times New Roman"/>
          <w:sz w:val="28"/>
          <w:szCs w:val="28"/>
        </w:rPr>
        <w:t xml:space="preserve"> застарілою </w:t>
      </w:r>
      <w:r w:rsidRPr="00462F0F">
        <w:rPr>
          <w:rFonts w:ascii="Times New Roman" w:hAnsi="Times New Roman"/>
          <w:sz w:val="28"/>
          <w:szCs w:val="28"/>
        </w:rPr>
        <w:t>та</w:t>
      </w:r>
      <w:r w:rsidR="00A21289" w:rsidRPr="00462F0F">
        <w:rPr>
          <w:rFonts w:ascii="Times New Roman" w:hAnsi="Times New Roman"/>
          <w:sz w:val="28"/>
          <w:szCs w:val="28"/>
        </w:rPr>
        <w:t xml:space="preserve"> потребує </w:t>
      </w:r>
      <w:r w:rsidRPr="00462F0F">
        <w:rPr>
          <w:rFonts w:ascii="Times New Roman" w:hAnsi="Times New Roman"/>
          <w:sz w:val="28"/>
          <w:szCs w:val="28"/>
        </w:rPr>
        <w:t xml:space="preserve">великих обсягів </w:t>
      </w:r>
      <w:r w:rsidR="00A21289" w:rsidRPr="00462F0F">
        <w:rPr>
          <w:rFonts w:ascii="Times New Roman" w:hAnsi="Times New Roman"/>
          <w:sz w:val="28"/>
          <w:szCs w:val="28"/>
        </w:rPr>
        <w:t xml:space="preserve">імпорту природного газу. </w:t>
      </w:r>
      <w:r w:rsidR="00360C6F" w:rsidRPr="00462F0F">
        <w:rPr>
          <w:rFonts w:ascii="Times New Roman" w:hAnsi="Times New Roman"/>
          <w:sz w:val="28"/>
          <w:szCs w:val="28"/>
        </w:rPr>
        <w:t>На відміну від України, у п</w:t>
      </w:r>
      <w:r w:rsidR="00A21289" w:rsidRPr="00462F0F">
        <w:rPr>
          <w:rFonts w:ascii="Times New Roman" w:hAnsi="Times New Roman"/>
          <w:sz w:val="28"/>
          <w:szCs w:val="28"/>
        </w:rPr>
        <w:t>ровідних країнах світу у металургійному виробництві використовують електроенергію та пиловугільну суміш</w:t>
      </w:r>
      <w:r w:rsidR="00360C6F" w:rsidRPr="00462F0F">
        <w:rPr>
          <w:rFonts w:ascii="Times New Roman" w:hAnsi="Times New Roman"/>
          <w:sz w:val="28"/>
          <w:szCs w:val="28"/>
        </w:rPr>
        <w:t>, що знижує собівартість та не потребує імпорту газу</w:t>
      </w:r>
      <w:r w:rsidR="00A21289" w:rsidRPr="00462F0F">
        <w:rPr>
          <w:rFonts w:ascii="Times New Roman" w:hAnsi="Times New Roman"/>
          <w:sz w:val="28"/>
          <w:szCs w:val="28"/>
        </w:rPr>
        <w:t xml:space="preserve">. </w:t>
      </w:r>
      <w:r w:rsidR="00360C6F" w:rsidRPr="00462F0F">
        <w:rPr>
          <w:rFonts w:ascii="Times New Roman" w:hAnsi="Times New Roman"/>
          <w:sz w:val="28"/>
          <w:szCs w:val="28"/>
        </w:rPr>
        <w:t>В Україні у</w:t>
      </w:r>
      <w:r w:rsidR="00A21289" w:rsidRPr="00462F0F">
        <w:rPr>
          <w:rFonts w:ascii="Times New Roman" w:hAnsi="Times New Roman"/>
          <w:sz w:val="28"/>
          <w:szCs w:val="28"/>
        </w:rPr>
        <w:t xml:space="preserve"> хімічній промисловості технологія виробництва азотних добрив </w:t>
      </w:r>
      <w:r w:rsidR="00360C6F" w:rsidRPr="00462F0F">
        <w:rPr>
          <w:rFonts w:ascii="Times New Roman" w:hAnsi="Times New Roman"/>
          <w:sz w:val="28"/>
          <w:szCs w:val="28"/>
        </w:rPr>
        <w:t xml:space="preserve">також </w:t>
      </w:r>
      <w:r w:rsidR="00A21289" w:rsidRPr="00462F0F">
        <w:rPr>
          <w:rFonts w:ascii="Times New Roman" w:hAnsi="Times New Roman"/>
          <w:sz w:val="28"/>
          <w:szCs w:val="28"/>
        </w:rPr>
        <w:t xml:space="preserve">заснована на </w:t>
      </w:r>
      <w:r w:rsidR="005133D8" w:rsidRPr="00462F0F">
        <w:rPr>
          <w:rFonts w:ascii="Times New Roman" w:hAnsi="Times New Roman"/>
          <w:sz w:val="28"/>
          <w:szCs w:val="28"/>
        </w:rPr>
        <w:t>використанні природного газу як сировини. Поряд з промисловим сектором, вагому частину природного газу</w:t>
      </w:r>
      <w:r w:rsidR="00360C6F" w:rsidRPr="00462F0F">
        <w:rPr>
          <w:rFonts w:ascii="Times New Roman" w:hAnsi="Times New Roman"/>
          <w:sz w:val="28"/>
          <w:szCs w:val="28"/>
        </w:rPr>
        <w:t xml:space="preserve"> </w:t>
      </w:r>
      <w:r w:rsidR="005133D8" w:rsidRPr="00462F0F">
        <w:rPr>
          <w:rFonts w:ascii="Times New Roman" w:hAnsi="Times New Roman"/>
          <w:sz w:val="28"/>
          <w:szCs w:val="28"/>
        </w:rPr>
        <w:t xml:space="preserve">в Україні споживає сектор домашніх господарств, сфера ЖКГ. </w:t>
      </w:r>
      <w:r w:rsidR="00360C6F" w:rsidRPr="00462F0F">
        <w:rPr>
          <w:rFonts w:ascii="Times New Roman" w:hAnsi="Times New Roman"/>
          <w:sz w:val="28"/>
          <w:szCs w:val="28"/>
        </w:rPr>
        <w:t xml:space="preserve">Технічної модернізації цих секторів на засадах енергозаощадження не спостерігається. Це призводить до того, що 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Україна </w:t>
      </w:r>
      <w:r w:rsidR="00360C6F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залишається </w:t>
      </w:r>
      <w:proofErr w:type="spellStart"/>
      <w:r w:rsidR="00360C6F" w:rsidRPr="00462F0F">
        <w:rPr>
          <w:rFonts w:ascii="Times New Roman" w:eastAsia="TimesNewRoman+1+1" w:hAnsi="Times New Roman" w:cs="Times New Roman"/>
          <w:sz w:val="28"/>
          <w:szCs w:val="28"/>
        </w:rPr>
        <w:t>енерго-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>дефіцитною</w:t>
      </w:r>
      <w:proofErr w:type="spellEnd"/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країною, 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загальні потреби 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якої 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в енергоресурсах 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оцінюються приблизно у 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>6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>,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 xml:space="preserve">46 млрд. </w:t>
      </w:r>
      <w:proofErr w:type="spellStart"/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>Р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>Btu</w:t>
      </w:r>
      <w:proofErr w:type="spellEnd"/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(біля 1,6 % від загальносвітового споживання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енергоносіїв). Україна з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адовольняє власний видобуток енергоресурсів 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менше </w:t>
      </w:r>
      <w:r w:rsidR="00360C6F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ніж на 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>47 %</w:t>
      </w:r>
      <w:r w:rsidR="005133D8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від загального обсягу потреб</w:t>
      </w:r>
      <w:r w:rsidR="00A21289" w:rsidRPr="00462F0F">
        <w:rPr>
          <w:rFonts w:ascii="Times New Roman" w:eastAsia="TimesNewRoman+1+1" w:hAnsi="Times New Roman" w:cs="Times New Roman"/>
          <w:sz w:val="28"/>
          <w:szCs w:val="28"/>
        </w:rPr>
        <w:t xml:space="preserve">. Запаси нафти в Україні становлять 0,04 % від загальносвітових запасів, газу –  0,75 % , вугілля – 3,5 % </w:t>
      </w:r>
      <w:r w:rsidR="00A21289" w:rsidRPr="000135BF">
        <w:rPr>
          <w:rFonts w:ascii="Times New Roman" w:hAnsi="Times New Roman"/>
          <w:sz w:val="28"/>
          <w:szCs w:val="28"/>
        </w:rPr>
        <w:t>[</w:t>
      </w:r>
      <w:r w:rsidR="00360C6F" w:rsidRPr="000135BF">
        <w:rPr>
          <w:rFonts w:ascii="Times New Roman" w:hAnsi="Times New Roman"/>
          <w:sz w:val="28"/>
          <w:szCs w:val="28"/>
        </w:rPr>
        <w:t>1</w:t>
      </w:r>
      <w:r w:rsidR="00A21289" w:rsidRPr="000135BF">
        <w:rPr>
          <w:rFonts w:ascii="Times New Roman" w:hAnsi="Times New Roman"/>
          <w:sz w:val="28"/>
          <w:szCs w:val="28"/>
        </w:rPr>
        <w:t>].</w:t>
      </w:r>
    </w:p>
    <w:p w:rsidR="00243772" w:rsidRPr="00462F0F" w:rsidRDefault="00C14B69" w:rsidP="0046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+1+1" w:hAnsi="Times New Roman" w:cs="Times New Roman"/>
          <w:sz w:val="28"/>
          <w:szCs w:val="28"/>
        </w:rPr>
      </w:pPr>
      <w:r w:rsidRPr="00462F0F">
        <w:rPr>
          <w:rFonts w:ascii="Times New Roman" w:eastAsia="TimesNewRoman+1+1" w:hAnsi="Times New Roman" w:cs="Times New Roman"/>
          <w:sz w:val="28"/>
          <w:szCs w:val="28"/>
        </w:rPr>
        <w:t>О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дним з перспективних напрямів розвитку енергети</w:t>
      </w:r>
      <w:r w:rsidRPr="00462F0F">
        <w:rPr>
          <w:rFonts w:ascii="Times New Roman" w:eastAsia="TimesNewRoman+1+1" w:hAnsi="Times New Roman" w:cs="Times New Roman"/>
          <w:sz w:val="28"/>
          <w:szCs w:val="28"/>
        </w:rPr>
        <w:t xml:space="preserve">ки для України залишається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ядерна енергетика. На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українських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атомних станціях виробляється майже 50 % від загального обсягу електроенергії.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Я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дерна енергетика, за умови дотримання всіх вимог безпеки та екологічності, залишається надзвичайно вигідним та перспективним напрямом розвитку енергетики в Україні, джерелом стабільних валютних надходжень за умови її продажу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за кордон (у т.ч.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до країн ЄС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>)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 xml:space="preserve">.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Перспективним є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розвит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>о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к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відновлюваної енергетики: геліо (сонячної), вітрової, гідроенергетики, біоенергетики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>. Але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поки що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його обсяги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>не перевищу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>ють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1 % генерації електроенергії в Україні. Водночас, розвиток відновлюваної енергетики досить швидко набирає популярності у регіонах України, вирішуючи на місцях проблему опалення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для </w:t>
      </w:r>
      <w:r w:rsidR="0021711D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сільських шкіл,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для </w:t>
      </w:r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приватного сектору у селах та малих містах. Наприклад – йдеться про поширення твердопаливних котлів,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які </w:t>
      </w:r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працюють на </w:t>
      </w:r>
      <w:proofErr w:type="spellStart"/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>пелетах</w:t>
      </w:r>
      <w:proofErr w:type="spellEnd"/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 xml:space="preserve">, брикетах, зроблених з відходів агропромислового виробництва (соломи, кукурудзи), </w:t>
      </w:r>
      <w:proofErr w:type="spellStart"/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>біо-відходів</w:t>
      </w:r>
      <w:proofErr w:type="spellEnd"/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(біогаз), відходів деревообробної промисловості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</w:t>
      </w:r>
      <w:r w:rsidR="00D95547" w:rsidRPr="00462F0F">
        <w:rPr>
          <w:rFonts w:ascii="Times New Roman" w:eastAsia="TimesNewRoman+1+1" w:hAnsi="Times New Roman" w:cs="Times New Roman"/>
          <w:sz w:val="28"/>
          <w:szCs w:val="28"/>
        </w:rPr>
        <w:t>та ін.</w:t>
      </w:r>
      <w:r w:rsidR="00BD1FE3" w:rsidRPr="00462F0F">
        <w:rPr>
          <w:rFonts w:ascii="Times New Roman" w:eastAsia="TimesNewRoman+1+1" w:hAnsi="Times New Roman" w:cs="Times New Roman"/>
          <w:sz w:val="28"/>
          <w:szCs w:val="28"/>
        </w:rPr>
        <w:t xml:space="preserve"> Розвиток відновлюваної енергетики визнано одним із стратегічних пріоритетів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 xml:space="preserve">вирішення енергетичної проблеми </w:t>
      </w:r>
      <w:r w:rsidR="00BD1FE3" w:rsidRPr="00462F0F">
        <w:rPr>
          <w:rFonts w:ascii="Times New Roman" w:eastAsia="TimesNewRoman+1+1" w:hAnsi="Times New Roman" w:cs="Times New Roman"/>
          <w:sz w:val="28"/>
          <w:szCs w:val="28"/>
        </w:rPr>
        <w:t xml:space="preserve">у країнах ЄС (зокрема, про це йдеться у </w:t>
      </w:r>
      <w:r w:rsidR="00BD1FE3" w:rsidRPr="001F4608">
        <w:rPr>
          <w:rFonts w:ascii="Times New Roman" w:eastAsia="TimesNewRoman+1+1" w:hAnsi="Times New Roman" w:cs="Times New Roman"/>
          <w:i/>
          <w:sz w:val="28"/>
          <w:szCs w:val="28"/>
        </w:rPr>
        <w:t>Стратегії сталого розвитку «Європа – 2020»</w:t>
      </w:r>
      <w:r w:rsidR="00BD1FE3" w:rsidRPr="00462F0F">
        <w:rPr>
          <w:rFonts w:ascii="Times New Roman" w:eastAsia="TimesNewRoman+1+1" w:hAnsi="Times New Roman" w:cs="Times New Roman"/>
          <w:sz w:val="28"/>
          <w:szCs w:val="28"/>
        </w:rPr>
        <w:t xml:space="preserve">). Отже – розвиток відновлюваної («зеленої») енергетики є перспективним і для України, оскільки </w:t>
      </w:r>
      <w:r w:rsidR="00243772" w:rsidRPr="00462F0F">
        <w:rPr>
          <w:rFonts w:ascii="Times New Roman" w:eastAsia="TimesNewRoman+1+1" w:hAnsi="Times New Roman" w:cs="Times New Roman"/>
          <w:sz w:val="28"/>
          <w:szCs w:val="28"/>
        </w:rPr>
        <w:t>сприяє забезпеченню енергетичної безпеки.</w:t>
      </w:r>
    </w:p>
    <w:p w:rsidR="00BF02DB" w:rsidRPr="00462F0F" w:rsidRDefault="008A1387" w:rsidP="00462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462F0F">
        <w:rPr>
          <w:rFonts w:ascii="Times New Roman" w:eastAsia="TimesNewRoman+1+1" w:hAnsi="Times New Roman" w:cs="Times New Roman"/>
          <w:sz w:val="28"/>
          <w:szCs w:val="28"/>
        </w:rPr>
        <w:t>Енергетична безпека країни потребує виваженого д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ержавн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ого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регулювання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внутрішнього 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енергетичного ринку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, що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ставить за мету: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забезпечення 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енергонезалежності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 </w:t>
      </w:r>
      <w:r w:rsidR="00243772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підвищення 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енергетичної безпеки країни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243772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зростання е</w:t>
      </w:r>
      <w:r w:rsidR="00BD1FE3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нергоефективності національної економіки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43772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енергозбереження, зменшення енергоємності </w:t>
      </w:r>
      <w:r w:rsidR="00243772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національного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виробництва</w:t>
      </w:r>
      <w:r w:rsidR="00243772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Серед ме</w:t>
      </w:r>
      <w:r w:rsidR="00243772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ханізмів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державного регулювання енергетичної сфери домінує т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арифне регулювання</w:t>
      </w:r>
      <w:r w:rsidR="00243772" w:rsidRPr="00462F0F">
        <w:rPr>
          <w:rFonts w:ascii="Times New Roman" w:eastAsia="Calibri" w:hAnsi="Times New Roman" w:cs="Times New Roman"/>
          <w:noProof/>
          <w:sz w:val="28"/>
          <w:szCs w:val="28"/>
        </w:rPr>
        <w:t>, що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передбачає диференціацію тарифів залежно від обсягів спожитої енергії,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різно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виду енергії (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вуглецева (газ, нафта),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чи відновлювана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– «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зелена» енергетика), залежно від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відстані між постачальником та споживачем, від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сезону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та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періоду добового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споживання (нічний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чи денний тариф) тощо. Н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етарифне регулювання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енергетичного ринку поєдну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є як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квоти на видобуток/продаж енерогносіїв, так і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податки, пільги, штрафи, ліцензії, субсидії, 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вимоги держави щодо обов</w:t>
      </w:r>
      <w:proofErr w:type="spellStart"/>
      <w:r w:rsidRPr="00462F0F">
        <w:rPr>
          <w:rFonts w:ascii="Times New Roman" w:hAnsi="Times New Roman" w:cs="Times New Roman"/>
          <w:sz w:val="28"/>
          <w:szCs w:val="28"/>
        </w:rPr>
        <w:t>’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язкового</w:t>
      </w:r>
      <w:proofErr w:type="spellEnd"/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(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або ж 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добровільн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ого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>) екологічн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>ого</w:t>
      </w:r>
      <w:r w:rsidR="00BD1FE3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страхування та ін.</w:t>
      </w:r>
      <w:r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Цікавим є досвід ЄС щодо 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впливу держави на </w:t>
      </w:r>
      <w:r w:rsidR="006967F5" w:rsidRPr="00462F0F">
        <w:rPr>
          <w:rFonts w:ascii="Times New Roman" w:eastAsia="Calibri" w:hAnsi="Times New Roman" w:cs="Times New Roman"/>
          <w:noProof/>
          <w:sz w:val="28"/>
          <w:szCs w:val="28"/>
        </w:rPr>
        <w:t>структурн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6967F5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перебудов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6967F5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 енергетичного ринку та 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стимулювання </w:t>
      </w:r>
      <w:r w:rsidR="00BF02DB" w:rsidRPr="00462F0F">
        <w:rPr>
          <w:rFonts w:ascii="Times New Roman" w:eastAsia="Calibri" w:hAnsi="Times New Roman" w:cs="Times New Roman"/>
          <w:noProof/>
          <w:sz w:val="28"/>
          <w:szCs w:val="28"/>
        </w:rPr>
        <w:t>його «розворот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BF02DB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» у бік розвитку «зеленої» енергетики. Так, у Швеції </w:t>
      </w:r>
      <w:r w:rsidR="00215B74" w:rsidRPr="00462F0F">
        <w:rPr>
          <w:rFonts w:ascii="Times New Roman" w:eastAsia="Calibri" w:hAnsi="Times New Roman" w:cs="Times New Roman"/>
          <w:noProof/>
          <w:sz w:val="28"/>
          <w:szCs w:val="28"/>
        </w:rPr>
        <w:t xml:space="preserve">з 2009 року </w:t>
      </w:r>
      <w:r w:rsidR="00BD1FE3" w:rsidRPr="00462F0F">
        <w:rPr>
          <w:rFonts w:ascii="Times New Roman" w:hAnsi="Times New Roman"/>
          <w:noProof/>
          <w:sz w:val="28"/>
          <w:szCs w:val="28"/>
        </w:rPr>
        <w:t>введено спеціальний</w:t>
      </w:r>
      <w:r w:rsidR="00BF02DB" w:rsidRPr="00462F0F">
        <w:rPr>
          <w:rFonts w:ascii="Times New Roman" w:hAnsi="Times New Roman"/>
          <w:noProof/>
          <w:sz w:val="28"/>
          <w:szCs w:val="28"/>
        </w:rPr>
        <w:t xml:space="preserve"> додатковий </w:t>
      </w:r>
      <w:r w:rsidR="00BD1FE3" w:rsidRPr="00462F0F">
        <w:rPr>
          <w:rFonts w:ascii="Times New Roman" w:hAnsi="Times New Roman"/>
          <w:noProof/>
          <w:sz w:val="28"/>
          <w:szCs w:val="28"/>
        </w:rPr>
        <w:t>«соціальний» податок на використання традиційного палива</w:t>
      </w:r>
      <w:r w:rsidR="00BF02DB" w:rsidRPr="00462F0F">
        <w:rPr>
          <w:rFonts w:ascii="Times New Roman" w:hAnsi="Times New Roman"/>
          <w:noProof/>
          <w:sz w:val="28"/>
          <w:szCs w:val="28"/>
        </w:rPr>
        <w:t xml:space="preserve"> для автомобілей</w:t>
      </w:r>
      <w:r w:rsidR="00BD1FE3" w:rsidRPr="00462F0F">
        <w:rPr>
          <w:rFonts w:ascii="Times New Roman" w:hAnsi="Times New Roman"/>
          <w:noProof/>
          <w:sz w:val="28"/>
          <w:szCs w:val="28"/>
        </w:rPr>
        <w:t xml:space="preserve">, виробленого з нафти, що зробило </w:t>
      </w:r>
      <w:r w:rsidR="00BF02DB" w:rsidRPr="00462F0F">
        <w:rPr>
          <w:rFonts w:ascii="Times New Roman" w:hAnsi="Times New Roman"/>
          <w:noProof/>
          <w:sz w:val="28"/>
          <w:szCs w:val="28"/>
        </w:rPr>
        <w:t>паливо</w:t>
      </w:r>
      <w:r w:rsidR="00215B74" w:rsidRPr="00462F0F">
        <w:rPr>
          <w:rFonts w:ascii="Times New Roman" w:hAnsi="Times New Roman"/>
          <w:noProof/>
          <w:sz w:val="28"/>
          <w:szCs w:val="28"/>
        </w:rPr>
        <w:t xml:space="preserve">, вироблене з нафтопродуктів, </w:t>
      </w:r>
      <w:r w:rsidR="00BD1FE3" w:rsidRPr="00462F0F">
        <w:rPr>
          <w:rFonts w:ascii="Times New Roman" w:hAnsi="Times New Roman"/>
          <w:noProof/>
          <w:sz w:val="28"/>
          <w:szCs w:val="28"/>
        </w:rPr>
        <w:t xml:space="preserve">майже втричі дорожчим, </w:t>
      </w:r>
      <w:r w:rsidR="00BF02DB" w:rsidRPr="00462F0F">
        <w:rPr>
          <w:rFonts w:ascii="Times New Roman" w:hAnsi="Times New Roman"/>
          <w:noProof/>
          <w:sz w:val="28"/>
          <w:szCs w:val="28"/>
        </w:rPr>
        <w:t xml:space="preserve">а отже – споживачі обиратимуть екологічне біопаливо. У </w:t>
      </w:r>
      <w:r w:rsidR="00BD1FE3" w:rsidRPr="00462F0F">
        <w:rPr>
          <w:rFonts w:ascii="Times New Roman" w:hAnsi="Times New Roman"/>
          <w:noProof/>
          <w:sz w:val="28"/>
          <w:szCs w:val="28"/>
        </w:rPr>
        <w:t>Швейцарі</w:t>
      </w:r>
      <w:r w:rsidR="00BF02DB" w:rsidRPr="00462F0F">
        <w:rPr>
          <w:rFonts w:ascii="Times New Roman" w:hAnsi="Times New Roman"/>
          <w:noProof/>
          <w:sz w:val="28"/>
          <w:szCs w:val="28"/>
        </w:rPr>
        <w:t>ї</w:t>
      </w:r>
      <w:r w:rsidR="00BD1FE3" w:rsidRPr="00462F0F">
        <w:rPr>
          <w:rFonts w:ascii="Times New Roman" w:hAnsi="Times New Roman"/>
          <w:noProof/>
          <w:sz w:val="28"/>
          <w:szCs w:val="28"/>
        </w:rPr>
        <w:t xml:space="preserve"> підвищили податок на викиди автомобілями СО</w:t>
      </w:r>
      <w:r w:rsidR="00BD1FE3" w:rsidRPr="00462F0F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="00215B74" w:rsidRPr="00462F0F">
        <w:rPr>
          <w:rFonts w:ascii="Times New Roman" w:hAnsi="Times New Roman"/>
          <w:noProof/>
          <w:sz w:val="28"/>
          <w:szCs w:val="28"/>
        </w:rPr>
        <w:t xml:space="preserve">, але </w:t>
      </w:r>
      <w:r w:rsidR="00BD1FE3" w:rsidRPr="00462F0F">
        <w:rPr>
          <w:rFonts w:ascii="Times New Roman" w:hAnsi="Times New Roman"/>
          <w:noProof/>
          <w:sz w:val="28"/>
          <w:szCs w:val="28"/>
        </w:rPr>
        <w:t>одночасно з цим, знизили відсоток відрахувань для малолітражних автомобілів і машин із двигунами, що можуть використовувати екологічно-безпечне паливо.</w:t>
      </w:r>
      <w:r w:rsidR="00BF02DB" w:rsidRPr="00462F0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C0573" w:rsidRPr="00462F0F" w:rsidRDefault="007C0573" w:rsidP="00462F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2F0F">
        <w:rPr>
          <w:rFonts w:ascii="Times New Roman" w:hAnsi="Times New Roman" w:cs="Times New Roman"/>
          <w:noProof/>
          <w:sz w:val="28"/>
          <w:szCs w:val="28"/>
        </w:rPr>
        <w:t>Цілі сталого розвитку (кл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матичн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цілі, та пов</w:t>
      </w:r>
      <w:proofErr w:type="spellStart"/>
      <w:r w:rsidRPr="00462F0F">
        <w:rPr>
          <w:rFonts w:ascii="Times New Roman" w:hAnsi="Times New Roman" w:cs="Times New Roman"/>
          <w:sz w:val="28"/>
          <w:szCs w:val="28"/>
        </w:rPr>
        <w:t>’</w:t>
      </w:r>
      <w:r w:rsidRPr="00462F0F">
        <w:rPr>
          <w:rFonts w:ascii="Times New Roman" w:hAnsi="Times New Roman" w:cs="Times New Roman"/>
          <w:noProof/>
          <w:sz w:val="28"/>
          <w:szCs w:val="28"/>
        </w:rPr>
        <w:t>язані</w:t>
      </w:r>
      <w:proofErr w:type="spellEnd"/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з ними енергетичн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ц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л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215B74" w:rsidRPr="00462F0F">
        <w:rPr>
          <w:rFonts w:ascii="Times New Roman" w:hAnsi="Times New Roman" w:cs="Times New Roman"/>
          <w:noProof/>
          <w:sz w:val="28"/>
          <w:szCs w:val="28"/>
        </w:rPr>
        <w:t>тісно пов</w:t>
      </w:r>
      <w:proofErr w:type="spellStart"/>
      <w:r w:rsidR="00215B74" w:rsidRPr="00462F0F">
        <w:rPr>
          <w:rFonts w:ascii="Times New Roman" w:hAnsi="Times New Roman" w:cs="Times New Roman"/>
          <w:sz w:val="28"/>
          <w:szCs w:val="28"/>
        </w:rPr>
        <w:t>’</w:t>
      </w:r>
      <w:r w:rsidR="00215B74" w:rsidRPr="00462F0F">
        <w:rPr>
          <w:rFonts w:ascii="Times New Roman" w:hAnsi="Times New Roman" w:cs="Times New Roman"/>
          <w:noProof/>
          <w:sz w:val="28"/>
          <w:szCs w:val="28"/>
        </w:rPr>
        <w:t>язані</w:t>
      </w:r>
      <w:proofErr w:type="spellEnd"/>
      <w:r w:rsidR="00215B74" w:rsidRPr="00462F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є пр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оритет</w:t>
      </w:r>
      <w:r w:rsidR="00215B74" w:rsidRPr="00462F0F">
        <w:rPr>
          <w:rFonts w:ascii="Times New Roman" w:hAnsi="Times New Roman" w:cs="Times New Roman"/>
          <w:noProof/>
          <w:sz w:val="28"/>
          <w:szCs w:val="28"/>
        </w:rPr>
        <w:t xml:space="preserve">ами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забезпечення енергетичної безпеки у країнах ЄС. 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 xml:space="preserve">Поряд з цим, </w:t>
      </w:r>
      <w:r w:rsidR="00215B74" w:rsidRPr="00462F0F">
        <w:rPr>
          <w:rFonts w:ascii="Times New Roman" w:hAnsi="Times New Roman" w:cs="Times New Roman"/>
          <w:noProof/>
          <w:sz w:val="28"/>
          <w:szCs w:val="28"/>
        </w:rPr>
        <w:t xml:space="preserve">серед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>пріоритет</w:t>
      </w:r>
      <w:r w:rsidR="00215B74" w:rsidRPr="00462F0F">
        <w:rPr>
          <w:rFonts w:ascii="Times New Roman" w:hAnsi="Times New Roman" w:cs="Times New Roman"/>
          <w:noProof/>
          <w:sz w:val="28"/>
          <w:szCs w:val="28"/>
        </w:rPr>
        <w:t>ів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забезпечення енергетичної безпеки країн ЄС визна</w:t>
      </w:r>
      <w:r w:rsidR="00EA6F69" w:rsidRPr="00462F0F">
        <w:rPr>
          <w:rFonts w:ascii="Times New Roman" w:hAnsi="Times New Roman" w:cs="Times New Roman"/>
          <w:noProof/>
          <w:sz w:val="28"/>
          <w:szCs w:val="28"/>
        </w:rPr>
        <w:t>че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но: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зменшення залежност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економ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ки ЄС в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д 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мпорту нафти та газу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зменшення викидів СО</w:t>
      </w:r>
      <w:r w:rsidRPr="00462F0F">
        <w:rPr>
          <w:rFonts w:ascii="Times New Roman" w:hAnsi="Times New Roman" w:cs="Times New Roman"/>
          <w:noProof/>
          <w:sz w:val="16"/>
          <w:szCs w:val="16"/>
        </w:rPr>
        <w:t>2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поступову відмову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на всій території ЄС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від використання вуглецевих енергоносіїв (вугілля,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природний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газ, нафта)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поступову в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дмову в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>д атомної енергетики; узгод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ження енергетичної пол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тики всіх країн ЄС з пол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тикою захисту кл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мату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>, проти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>дії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кліматични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>м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змін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>ам та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глобально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>му потеплінню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(зменшення викидів СО</w:t>
      </w:r>
      <w:r w:rsidRPr="00462F0F">
        <w:rPr>
          <w:rFonts w:ascii="Times New Roman" w:hAnsi="Times New Roman" w:cs="Times New Roman"/>
          <w:noProof/>
          <w:sz w:val="16"/>
          <w:szCs w:val="16"/>
        </w:rPr>
        <w:t>2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);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перехід країн ЄС до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домінуючого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використання відновлюваної енергетики (сонячної, вітрової, біо-енергетики, гідроенергетики)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. У концентрованому вигляді цілі 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 xml:space="preserve">енергетичної безпеки у країнах ЄС мають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>назв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>у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462F0F">
        <w:rPr>
          <w:rFonts w:ascii="Times New Roman" w:hAnsi="Times New Roman" w:cs="Times New Roman"/>
          <w:noProof/>
          <w:sz w:val="28"/>
          <w:szCs w:val="28"/>
        </w:rPr>
        <w:t>20/20/20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», що передбачає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до 2020 року (порівняно з показниками 1990 р.) зменшити викиди парникових газ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в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(СО</w:t>
      </w:r>
      <w:r w:rsidR="002A7027" w:rsidRPr="00462F0F">
        <w:rPr>
          <w:rFonts w:ascii="Times New Roman" w:hAnsi="Times New Roman" w:cs="Times New Roman"/>
          <w:noProof/>
          <w:sz w:val="16"/>
          <w:szCs w:val="16"/>
        </w:rPr>
        <w:t>2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– на 20 %;  зб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льшити до 20 % використання в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дновлюваних джерел енерг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ї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у загальному енергетичному балансі</w:t>
      </w:r>
      <w:r w:rsidRPr="00462F0F">
        <w:rPr>
          <w:rFonts w:ascii="Times New Roman" w:hAnsi="Times New Roman" w:cs="Times New Roman"/>
          <w:noProof/>
          <w:sz w:val="28"/>
          <w:szCs w:val="28"/>
        </w:rPr>
        <w:t>; п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двищити</w:t>
      </w:r>
      <w:r w:rsidR="00D826D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енергоефективн</w:t>
      </w:r>
      <w:r w:rsidRPr="00462F0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виробництва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на 20 %.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о 2050 року (порівняно з 1990 р.) 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в країнах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ЄС планують знизити викиди парникових газів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 (СО</w:t>
      </w:r>
      <w:r w:rsidR="002A7027" w:rsidRPr="00462F0F">
        <w:rPr>
          <w:rFonts w:ascii="Times New Roman" w:hAnsi="Times New Roman" w:cs="Times New Roman"/>
          <w:noProof/>
          <w:sz w:val="16"/>
          <w:szCs w:val="16"/>
        </w:rPr>
        <w:t>2</w:t>
      </w:r>
      <w:r w:rsidR="002A7027" w:rsidRPr="00462F0F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на 80 – 95 % (</w:t>
      </w:r>
      <w:r w:rsidR="00DC6C01" w:rsidRPr="00462F0F">
        <w:rPr>
          <w:rFonts w:ascii="Times New Roman" w:hAnsi="Times New Roman" w:cs="Times New Roman"/>
          <w:noProof/>
          <w:sz w:val="28"/>
          <w:szCs w:val="28"/>
        </w:rPr>
        <w:t xml:space="preserve">процес має назву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«декарбонізація» економіки).</w:t>
      </w:r>
      <w:r w:rsidR="00DC6C01" w:rsidRPr="00462F0F">
        <w:rPr>
          <w:rFonts w:ascii="Times New Roman" w:hAnsi="Times New Roman" w:cs="Times New Roman"/>
          <w:noProof/>
          <w:sz w:val="28"/>
          <w:szCs w:val="28"/>
        </w:rPr>
        <w:t xml:space="preserve"> До пріоритетів сталого розвитку, </w:t>
      </w:r>
      <w:r w:rsidR="00B03E28" w:rsidRPr="00462F0F">
        <w:rPr>
          <w:rFonts w:ascii="Times New Roman" w:hAnsi="Times New Roman" w:cs="Times New Roman"/>
          <w:noProof/>
          <w:sz w:val="28"/>
          <w:szCs w:val="28"/>
        </w:rPr>
        <w:t xml:space="preserve">які корелюються із </w:t>
      </w:r>
      <w:r w:rsidR="00DC6C01" w:rsidRPr="00462F0F">
        <w:rPr>
          <w:rFonts w:ascii="Times New Roman" w:hAnsi="Times New Roman" w:cs="Times New Roman"/>
          <w:noProof/>
          <w:sz w:val="28"/>
          <w:szCs w:val="28"/>
        </w:rPr>
        <w:t>забезпечення</w:t>
      </w:r>
      <w:r w:rsidR="00E50A70" w:rsidRPr="00462F0F">
        <w:rPr>
          <w:rFonts w:ascii="Times New Roman" w:hAnsi="Times New Roman" w:cs="Times New Roman"/>
          <w:noProof/>
          <w:sz w:val="28"/>
          <w:szCs w:val="28"/>
        </w:rPr>
        <w:t>м</w:t>
      </w:r>
      <w:r w:rsidR="00DC6C01" w:rsidRPr="00462F0F">
        <w:rPr>
          <w:rFonts w:ascii="Times New Roman" w:hAnsi="Times New Roman" w:cs="Times New Roman"/>
          <w:noProof/>
          <w:sz w:val="28"/>
          <w:szCs w:val="28"/>
        </w:rPr>
        <w:t xml:space="preserve"> енергетичної безпеки </w:t>
      </w:r>
      <w:r w:rsidR="00E50A70" w:rsidRPr="00462F0F">
        <w:rPr>
          <w:rFonts w:ascii="Times New Roman" w:hAnsi="Times New Roman" w:cs="Times New Roman"/>
          <w:noProof/>
          <w:sz w:val="28"/>
          <w:szCs w:val="28"/>
        </w:rPr>
        <w:t xml:space="preserve">має </w:t>
      </w:r>
      <w:r w:rsidR="00DC6C01" w:rsidRPr="00462F0F">
        <w:rPr>
          <w:rFonts w:ascii="Times New Roman" w:hAnsi="Times New Roman" w:cs="Times New Roman"/>
          <w:noProof/>
          <w:sz w:val="28"/>
          <w:szCs w:val="28"/>
        </w:rPr>
        <w:t>прагнути і Україн</w:t>
      </w:r>
      <w:r w:rsidR="00E50A70" w:rsidRPr="00462F0F">
        <w:rPr>
          <w:rFonts w:ascii="Times New Roman" w:hAnsi="Times New Roman" w:cs="Times New Roman"/>
          <w:noProof/>
          <w:sz w:val="28"/>
          <w:szCs w:val="28"/>
        </w:rPr>
        <w:t>а</w:t>
      </w:r>
      <w:r w:rsidR="00DC6C01" w:rsidRPr="00462F0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F4D39" w:rsidRPr="00462F0F" w:rsidRDefault="003E6D7E" w:rsidP="00462F0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Складовою енергетичної безпеки країн ЄС є вимога щодо диверсифікації джерел п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стачання енергетичних ресурсів (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бмеження максимальн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ї д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лі у енерг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стачанні певн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г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енергетичного ресурсу з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дн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>г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джерела д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30 %), а також підвищення е</w:t>
      </w:r>
      <w:r w:rsidRPr="00462F0F">
        <w:rPr>
          <w:rFonts w:ascii="Times New Roman" w:eastAsia="Times New Roman" w:hAnsi="Times New Roman"/>
          <w:noProof/>
          <w:sz w:val="28"/>
          <w:szCs w:val="28"/>
        </w:rPr>
        <w:t xml:space="preserve">нергоефективності та енергозаощадження. Важливою складовою енергетичної </w:t>
      </w:r>
      <w:r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безпеки </w:t>
      </w:r>
      <w:r w:rsidR="00E50A70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Європи є </w:t>
      </w:r>
      <w:r w:rsidR="00701B9D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введений у дію </w:t>
      </w:r>
      <w:r w:rsidR="00701B9D" w:rsidRPr="001F4608">
        <w:rPr>
          <w:rFonts w:ascii="Times New Roman" w:eastAsia="Times New Roman" w:hAnsi="Times New Roman" w:cs="Times New Roman"/>
          <w:i/>
          <w:noProof/>
          <w:sz w:val="28"/>
          <w:szCs w:val="28"/>
        </w:rPr>
        <w:t>«</w:t>
      </w:r>
      <w:r w:rsidRPr="001F4608">
        <w:rPr>
          <w:rFonts w:ascii="Times New Roman" w:hAnsi="Times New Roman" w:cs="Times New Roman"/>
          <w:i/>
          <w:noProof/>
          <w:sz w:val="28"/>
          <w:szCs w:val="28"/>
        </w:rPr>
        <w:t>Третій енергетичний пакет ЄС</w:t>
      </w:r>
      <w:r w:rsidR="00701B9D" w:rsidRPr="001F4608">
        <w:rPr>
          <w:rFonts w:ascii="Times New Roman" w:hAnsi="Times New Roman" w:cs="Times New Roman"/>
          <w:i/>
          <w:noProof/>
          <w:sz w:val="28"/>
          <w:szCs w:val="28"/>
        </w:rPr>
        <w:t>»</w:t>
      </w:r>
      <w:r w:rsidR="00701B9D" w:rsidRPr="00462F0F">
        <w:rPr>
          <w:rFonts w:ascii="Times New Roman" w:hAnsi="Times New Roman" w:cs="Times New Roman"/>
          <w:noProof/>
          <w:sz w:val="28"/>
          <w:szCs w:val="28"/>
        </w:rPr>
        <w:t xml:space="preserve"> (2009 р.)</w:t>
      </w:r>
      <w:r w:rsidR="00E50A70" w:rsidRPr="00462F0F">
        <w:rPr>
          <w:rFonts w:ascii="Times New Roman" w:hAnsi="Times New Roman" w:cs="Times New Roman"/>
          <w:noProof/>
          <w:sz w:val="28"/>
          <w:szCs w:val="28"/>
        </w:rPr>
        <w:t xml:space="preserve">, який </w:t>
      </w:r>
      <w:r w:rsidRPr="00462F0F">
        <w:rPr>
          <w:rFonts w:ascii="Times New Roman" w:hAnsi="Times New Roman" w:cs="Times New Roman"/>
          <w:noProof/>
          <w:sz w:val="28"/>
          <w:szCs w:val="28"/>
        </w:rPr>
        <w:t>комплексно поєдн</w:t>
      </w:r>
      <w:r w:rsidR="00701B9D" w:rsidRPr="00462F0F">
        <w:rPr>
          <w:rFonts w:ascii="Times New Roman" w:hAnsi="Times New Roman" w:cs="Times New Roman"/>
          <w:noProof/>
          <w:sz w:val="28"/>
          <w:szCs w:val="28"/>
        </w:rPr>
        <w:t>ав</w:t>
      </w:r>
      <w:r w:rsidRPr="00462F0F">
        <w:rPr>
          <w:rFonts w:ascii="Times New Roman" w:hAnsi="Times New Roman" w:cs="Times New Roman"/>
          <w:noProof/>
          <w:sz w:val="28"/>
          <w:szCs w:val="28"/>
        </w:rPr>
        <w:t>: Газову директиву ЄС, Електроенергетичну директиву ЄС, Регламент про доступ до газових мереж, Регламент про доступ до електроенергетичних мереж, Регламент про Агентства зі співробітництва регулюючих органів</w:t>
      </w:r>
      <w:r w:rsidR="000135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35BF" w:rsidRPr="000135BF">
        <w:rPr>
          <w:rFonts w:ascii="Times New Roman" w:hAnsi="Times New Roman"/>
          <w:sz w:val="28"/>
          <w:szCs w:val="28"/>
        </w:rPr>
        <w:t>[</w:t>
      </w:r>
      <w:r w:rsidR="000135BF">
        <w:rPr>
          <w:rFonts w:ascii="Times New Roman" w:hAnsi="Times New Roman"/>
          <w:sz w:val="28"/>
          <w:szCs w:val="28"/>
        </w:rPr>
        <w:t>2</w:t>
      </w:r>
      <w:r w:rsidR="000135BF" w:rsidRPr="000135BF">
        <w:rPr>
          <w:rFonts w:ascii="Times New Roman" w:hAnsi="Times New Roman"/>
          <w:sz w:val="28"/>
          <w:szCs w:val="28"/>
        </w:rPr>
        <w:t>].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01B9D" w:rsidRPr="00462F0F" w:rsidRDefault="00701B9D" w:rsidP="00462F0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462F0F">
        <w:rPr>
          <w:rFonts w:ascii="Times New Roman" w:hAnsi="Times New Roman" w:cs="Times New Roman"/>
          <w:noProof/>
          <w:sz w:val="28"/>
          <w:szCs w:val="28"/>
        </w:rPr>
        <w:t>«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Третій енергетичний пакет ЄС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»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визначив шлях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и 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створення єдиного європейського енергетичного  простору на основі 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узгоджен</w:t>
      </w:r>
      <w:r w:rsidR="00EF4D3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ого переліку 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правил: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3E6D7E" w:rsidRPr="00462F0F">
        <w:rPr>
          <w:rFonts w:ascii="Times New Roman" w:hAnsi="Times New Roman" w:cs="Times New Roman"/>
          <w:noProof/>
          <w:sz w:val="28"/>
          <w:szCs w:val="28"/>
        </w:rPr>
        <w:t xml:space="preserve">ведення у ЄС централізованого планування розвитку європейської енергетичної </w:t>
      </w:r>
      <w:r w:rsidR="003E6D7E" w:rsidRPr="00462F0F">
        <w:rPr>
          <w:rFonts w:ascii="Times New Roman" w:hAnsi="Times New Roman" w:cs="Times New Roman"/>
          <w:noProof/>
          <w:sz w:val="28"/>
          <w:szCs w:val="28"/>
        </w:rPr>
        <w:lastRenderedPageBreak/>
        <w:t>мережі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; 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налагодження ефективної взаємодії між національними регулюючими органами ЄС у сфері енергетичного забезпечення для формування «культури регулювання ЄС» в умовах відсутності єдиного загальноєвропейського регулятора; налагодження тісної взаємодії між операторами систем транспорт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ування енергоносіїв до країн ЄС;</w:t>
      </w:r>
      <w:r w:rsidR="00EF4D3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посилення незалежності та розширення компетенції національних регулюючих органів країн ЄС у сфері енергозабезпечення</w:t>
      </w:r>
      <w:r w:rsidR="00EF4D3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; </w:t>
      </w:r>
      <w:r w:rsidR="003E6D7E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підвищення захисту прав споживачів енергетичних ресурсів</w:t>
      </w:r>
      <w:r w:rsidR="00462F0F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та ін. 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«Третій енергетичний пакет ЄС» </w:t>
      </w:r>
      <w:r w:rsidR="00462F0F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гарантує 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публічні</w:t>
      </w:r>
      <w:r w:rsidR="00462F0F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сть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, відкриті</w:t>
      </w:r>
      <w:r w:rsidR="00462F0F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сть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та доступні</w:t>
      </w:r>
      <w:r w:rsidR="00462F0F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сть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інформації про транспортування енергії. Прийняття інвестиційних рішень щодо розвитку енергетичної мережі стає обов'язком операторів країн ЄС, а не тільки монополістів, які постачають енергетичні ресурси до ЄС</w:t>
      </w:r>
      <w:r w:rsidR="000135B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0135BF" w:rsidRPr="000135BF">
        <w:rPr>
          <w:rFonts w:ascii="Times New Roman" w:hAnsi="Times New Roman"/>
          <w:sz w:val="28"/>
          <w:szCs w:val="28"/>
        </w:rPr>
        <w:t>[</w:t>
      </w:r>
      <w:r w:rsidR="000135BF">
        <w:rPr>
          <w:rFonts w:ascii="Times New Roman" w:hAnsi="Times New Roman"/>
          <w:sz w:val="28"/>
          <w:szCs w:val="28"/>
        </w:rPr>
        <w:t>2</w:t>
      </w:r>
      <w:r w:rsidR="000135BF" w:rsidRPr="000135BF">
        <w:rPr>
          <w:rFonts w:ascii="Times New Roman" w:hAnsi="Times New Roman"/>
          <w:sz w:val="28"/>
          <w:szCs w:val="28"/>
        </w:rPr>
        <w:t>].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Такі п</w:t>
      </w:r>
      <w:r w:rsidR="00C9277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ринципи 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позитивно </w:t>
      </w:r>
      <w:r w:rsidR="00C9277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впливають на 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конкуренці</w:t>
      </w:r>
      <w:r w:rsidR="00C9277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ю, 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формують бар’єри для монополістів</w:t>
      </w:r>
      <w:r w:rsidR="00EF4D3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, що</w:t>
      </w:r>
      <w:r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підвищує енергетичну безпеку ЄС</w:t>
      </w:r>
      <w:r w:rsidR="00C92779" w:rsidRPr="00462F0F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837526" w:rsidRPr="00462F0F" w:rsidRDefault="00FB70A0" w:rsidP="0046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Україна приєдналася д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«Тр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ть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рг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тичн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пак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ту ЄС» 9 кв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тня 2015 р., зокрема – прийняла Зак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 України «Пр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рин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к прир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дн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газу» (2015 р.), відповідно до положень якого передбачено впр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вадж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ння євр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п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йських 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рм та «правил гри» на українськ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му енергоринку прир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дн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газу, ств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ння к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нкур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нтн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та пр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з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ринку транспортування енергоресурсів з 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вним д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ступ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м д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нь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суб’єкт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в г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сп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дарювання (у т.ч. євр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п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йських 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нв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ст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р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>в).</w:t>
      </w:r>
      <w:r w:rsidR="00837526" w:rsidRPr="00462F0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Адже ч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з газ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трансп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ртну сист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му (ГТС) України пр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х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дить майже 40 % газу, щ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мп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ртує ЄС. П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="00D02A67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ряд з цим, </w:t>
      </w:r>
      <w:r w:rsidR="00837526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д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забезпечення енергетичної безпеки країн ЄС пріоритетності набуває створення 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</w:rPr>
        <w:t>б’єднан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</w:rPr>
        <w:t>ї євр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</w:rPr>
        <w:t>пейськ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</w:rPr>
        <w:t>ї енергетичн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i/>
          <w:noProof/>
          <w:sz w:val="28"/>
          <w:szCs w:val="28"/>
        </w:rPr>
        <w:t>ї системи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, мета якої – вирівнювання сезонн</w:t>
      </w:r>
      <w:r w:rsidR="00D826D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их навантажень на енергосистему 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ЄС, згладжування піків енергетичн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г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навантаження</w:t>
      </w:r>
      <w:r w:rsidR="00953C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(сезонних та добових) </w:t>
      </w:r>
      <w:r w:rsidR="00EF4D39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 т.ч.шляхом 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птимальн</w:t>
      </w:r>
      <w:r w:rsidR="00EF4D39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ого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вик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ристання різних</w:t>
      </w:r>
      <w:r w:rsidR="00953C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джерел енергетичних ресурсів, задіяння потенціалу 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відн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o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>влюваної енергетики</w:t>
      </w:r>
      <w:r w:rsidR="000135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135BF" w:rsidRPr="000135BF">
        <w:rPr>
          <w:rFonts w:ascii="Times New Roman" w:hAnsi="Times New Roman"/>
          <w:sz w:val="28"/>
          <w:szCs w:val="28"/>
        </w:rPr>
        <w:t>[</w:t>
      </w:r>
      <w:r w:rsidR="000135BF">
        <w:rPr>
          <w:rFonts w:ascii="Times New Roman" w:hAnsi="Times New Roman"/>
          <w:sz w:val="28"/>
          <w:szCs w:val="28"/>
        </w:rPr>
        <w:t>3</w:t>
      </w:r>
      <w:r w:rsidR="000135BF" w:rsidRPr="000135BF">
        <w:rPr>
          <w:rFonts w:ascii="Times New Roman" w:hAnsi="Times New Roman"/>
          <w:sz w:val="28"/>
          <w:szCs w:val="28"/>
        </w:rPr>
        <w:t>].</w:t>
      </w:r>
      <w:r w:rsidR="00837526" w:rsidRPr="00462F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D02A67" w:rsidRDefault="00837526" w:rsidP="00462F0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Доцільно припустити, що реальна євроінтеграція України (на першому етапі реформ) відбуватиметься шляхом налагодження </w:t>
      </w:r>
      <w:r w:rsidR="00EF4D39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плідного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секторального співробітництва, у т.ч. у енергетичнвій сфері. Поступова інтеграція України до єдиного європейського енергетичного простору (ЄЄЕП) та виконання завдань ч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тирьох «д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жн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х карт» сп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впрац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України та ЄЄ у сф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рг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тики: яд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рна б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зп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ка;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нт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грац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я ринк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в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л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ктр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рг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ї та газу; б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зп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ка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рг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п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стачання та транзиту вугл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в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дн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в (газу); р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структуризац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я та приватизац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я у сф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с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кт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ру кам’ян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вуг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i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льн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г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вир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бництва та т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пл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в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o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ї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н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рг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  <w:lang w:val="en-US"/>
        </w:rPr>
        <w:t>e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тики – формує фундамент для реальної євроінтеграції </w:t>
      </w:r>
      <w:r w:rsidR="00EF4D39"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й </w:t>
      </w:r>
      <w:r w:rsidRPr="00462F0F">
        <w:rPr>
          <w:rFonts w:ascii="Times New Roman" w:eastAsia="Times New Roman" w:hAnsi="Times New Roman" w:cs="Times New Roman"/>
          <w:bCs/>
          <w:noProof/>
          <w:sz w:val="28"/>
          <w:szCs w:val="28"/>
        </w:rPr>
        <w:t>у інших сферах економічного розвитку. Отже, с</w:t>
      </w:r>
      <w:r w:rsidR="00D02A67" w:rsidRPr="00462F0F">
        <w:rPr>
          <w:rFonts w:ascii="Times New Roman" w:hAnsi="Times New Roman" w:cs="Times New Roman"/>
          <w:noProof/>
          <w:sz w:val="28"/>
          <w:szCs w:val="28"/>
        </w:rPr>
        <w:t>творення єдиного європейського Енергетичного Союзу</w:t>
      </w:r>
      <w:r w:rsidR="00D02A67" w:rsidRPr="00462F0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462F0F">
        <w:rPr>
          <w:rFonts w:ascii="Times New Roman" w:hAnsi="Times New Roman" w:cs="Times New Roman"/>
          <w:noProof/>
          <w:sz w:val="28"/>
          <w:szCs w:val="28"/>
        </w:rPr>
        <w:t xml:space="preserve">за участю України забезпечує енергетичну безпеку та  відкриває </w:t>
      </w:r>
      <w:r w:rsidR="00D02A67" w:rsidRPr="00462F0F">
        <w:rPr>
          <w:rFonts w:ascii="Times New Roman" w:hAnsi="Times New Roman" w:cs="Times New Roman"/>
          <w:noProof/>
          <w:sz w:val="28"/>
          <w:szCs w:val="28"/>
        </w:rPr>
        <w:t>перед</w:t>
      </w:r>
      <w:r w:rsidR="00D02A67" w:rsidRPr="001E2D06">
        <w:rPr>
          <w:rFonts w:ascii="Times New Roman" w:hAnsi="Times New Roman" w:cs="Times New Roman"/>
          <w:noProof/>
          <w:sz w:val="28"/>
          <w:szCs w:val="28"/>
        </w:rPr>
        <w:t xml:space="preserve"> Україною нові можливості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втілювати </w:t>
      </w:r>
      <w:r w:rsidR="00D02A67" w:rsidRPr="001E2D06">
        <w:rPr>
          <w:rFonts w:ascii="Times New Roman" w:hAnsi="Times New Roman" w:cs="Times New Roman"/>
          <w:noProof/>
          <w:sz w:val="28"/>
          <w:szCs w:val="28"/>
        </w:rPr>
        <w:t xml:space="preserve">євроінтеграційну стратегію. </w:t>
      </w:r>
    </w:p>
    <w:p w:rsidR="00837526" w:rsidRPr="00EF4D39" w:rsidRDefault="00A42304" w:rsidP="00EF4D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F4D39">
        <w:rPr>
          <w:rFonts w:ascii="Times New Roman" w:hAnsi="Times New Roman" w:cs="Times New Roman"/>
          <w:b/>
          <w:noProof/>
          <w:sz w:val="28"/>
          <w:szCs w:val="28"/>
        </w:rPr>
        <w:t>Список використаних джерел</w:t>
      </w:r>
      <w:r w:rsidR="00EF4D39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360C6F" w:rsidRPr="00360C6F" w:rsidRDefault="00360C6F" w:rsidP="00360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C6F">
        <w:rPr>
          <w:rFonts w:ascii="Times New Roman" w:hAnsi="Times New Roman" w:cs="Times New Roman"/>
          <w:sz w:val="28"/>
          <w:szCs w:val="28"/>
        </w:rPr>
        <w:t>1.Офіційний сайт Державної</w:t>
      </w:r>
      <w:r w:rsidRPr="0036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5EAF">
        <w:rPr>
          <w:rFonts w:ascii="Times New Roman" w:hAnsi="Times New Roman" w:cs="Times New Roman"/>
          <w:sz w:val="28"/>
          <w:szCs w:val="28"/>
        </w:rPr>
        <w:t>служби</w:t>
      </w:r>
      <w:r w:rsidRPr="0036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C6F">
        <w:rPr>
          <w:rFonts w:ascii="Times New Roman" w:hAnsi="Times New Roman" w:cs="Times New Roman"/>
          <w:sz w:val="28"/>
          <w:szCs w:val="28"/>
        </w:rPr>
        <w:t xml:space="preserve">статистики України </w:t>
      </w:r>
      <w:r w:rsidRPr="00360C6F">
        <w:rPr>
          <w:rFonts w:ascii="Times New Roman" w:hAnsi="Times New Roman" w:cs="Times New Roman"/>
          <w:bCs/>
          <w:iCs/>
          <w:sz w:val="28"/>
          <w:szCs w:val="28"/>
        </w:rPr>
        <w:t>[Електронний ресурс</w:t>
      </w:r>
      <w:r w:rsidRPr="00360C6F">
        <w:rPr>
          <w:rFonts w:ascii="Times New Roman" w:hAnsi="Times New Roman" w:cs="Times New Roman"/>
          <w:bCs/>
          <w:iCs/>
          <w:sz w:val="28"/>
          <w:szCs w:val="28"/>
          <w:lang w:val="ru-RU"/>
        </w:rPr>
        <w:t>]</w:t>
      </w:r>
      <w:r w:rsidRPr="00360C6F">
        <w:rPr>
          <w:rFonts w:ascii="Times New Roman" w:hAnsi="Times New Roman" w:cs="Times New Roman"/>
          <w:bCs/>
          <w:iCs/>
          <w:sz w:val="28"/>
          <w:szCs w:val="28"/>
        </w:rPr>
        <w:t xml:space="preserve"> – Режим доступу: </w:t>
      </w:r>
      <w:hyperlink r:id="rId5" w:history="1"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en-US"/>
          </w:rPr>
          <w:t>www</w:t>
        </w:r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ru-RU"/>
          </w:rPr>
          <w:t>.</w:t>
        </w:r>
        <w:proofErr w:type="spellStart"/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en-US"/>
          </w:rPr>
          <w:t>ukrstat</w:t>
        </w:r>
        <w:proofErr w:type="spellEnd"/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ru-RU"/>
          </w:rPr>
          <w:t>.</w:t>
        </w:r>
        <w:proofErr w:type="spellStart"/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en-US"/>
          </w:rPr>
          <w:t>gov</w:t>
        </w:r>
        <w:proofErr w:type="spellEnd"/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ru-RU"/>
          </w:rPr>
          <w:t>.</w:t>
        </w:r>
        <w:proofErr w:type="spellStart"/>
        <w:r w:rsidRPr="00360C6F">
          <w:rPr>
            <w:rStyle w:val="a4"/>
            <w:rFonts w:ascii="Times New Roman" w:hAnsi="Times New Roman" w:cs="Times New Roman"/>
            <w:bCs/>
            <w:iCs/>
            <w:color w:val="0070C0"/>
            <w:sz w:val="28"/>
            <w:szCs w:val="28"/>
            <w:lang w:val="en-US"/>
          </w:rPr>
          <w:t>ua</w:t>
        </w:r>
        <w:proofErr w:type="spellEnd"/>
      </w:hyperlink>
    </w:p>
    <w:p w:rsidR="003E6F67" w:rsidRPr="003E6F67" w:rsidRDefault="00360C6F" w:rsidP="003E6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 w:rsidR="003E6F67" w:rsidRPr="003E6F67">
        <w:rPr>
          <w:rFonts w:ascii="Times New Roman" w:hAnsi="Times New Roman" w:cs="Times New Roman"/>
          <w:sz w:val="28"/>
          <w:szCs w:val="28"/>
          <w:lang w:val="en-US"/>
        </w:rPr>
        <w:t>Directive 2009/73/EC of the European Parliament and of the Council</w:t>
      </w:r>
      <w:r w:rsidR="003E6F67" w:rsidRPr="003E6F67">
        <w:rPr>
          <w:rFonts w:ascii="Times New Roman" w:hAnsi="Times New Roman" w:cs="Times New Roman"/>
          <w:sz w:val="28"/>
          <w:szCs w:val="28"/>
        </w:rPr>
        <w:t xml:space="preserve"> </w:t>
      </w:r>
      <w:r w:rsidR="003E6F67" w:rsidRPr="003E6F67">
        <w:rPr>
          <w:rFonts w:ascii="Times New Roman" w:hAnsi="Times New Roman" w:cs="Times New Roman"/>
          <w:sz w:val="28"/>
          <w:szCs w:val="28"/>
          <w:lang w:val="en-US"/>
        </w:rPr>
        <w:t>of 13 July 2009 concerning common rules for the internal market in natural gas and repealing</w:t>
      </w:r>
    </w:p>
    <w:p w:rsidR="003E6F67" w:rsidRDefault="003E6F67" w:rsidP="003E6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F67">
        <w:rPr>
          <w:rFonts w:ascii="Times New Roman" w:hAnsi="Times New Roman" w:cs="Times New Roman"/>
          <w:sz w:val="28"/>
          <w:szCs w:val="28"/>
          <w:lang w:val="en-US"/>
        </w:rPr>
        <w:t>Directive</w:t>
      </w:r>
      <w:r w:rsidRPr="003E6F67">
        <w:rPr>
          <w:rFonts w:ascii="Times New Roman" w:hAnsi="Times New Roman" w:cs="Times New Roman"/>
          <w:sz w:val="28"/>
          <w:szCs w:val="28"/>
          <w:lang w:val="ru-RU"/>
        </w:rPr>
        <w:t xml:space="preserve"> 2003/55/</w:t>
      </w:r>
      <w:r w:rsidRPr="003E6F67">
        <w:rPr>
          <w:rFonts w:ascii="Times New Roman" w:hAnsi="Times New Roman" w:cs="Times New Roman"/>
          <w:sz w:val="28"/>
          <w:szCs w:val="28"/>
          <w:lang w:val="en-US"/>
        </w:rPr>
        <w:t>EC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67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Pr="003E6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F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eur</w:t>
        </w:r>
        <w:proofErr w:type="spellEnd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lex</w:t>
        </w:r>
        <w:proofErr w:type="spellEnd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europa</w:t>
        </w:r>
        <w:proofErr w:type="spellEnd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eu</w:t>
        </w:r>
        <w:proofErr w:type="spellEnd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legal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TXT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/?</w:t>
        </w:r>
        <w:proofErr w:type="spellStart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uri</w:t>
        </w:r>
        <w:proofErr w:type="spellEnd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=</w:t>
        </w:r>
        <w:proofErr w:type="spellStart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uriserv</w:t>
        </w:r>
        <w:proofErr w:type="spellEnd"/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OJ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_.2009.211.01.0094.01.</w:t>
        </w:r>
        <w:r w:rsidR="00EF4D39" w:rsidRPr="00EC14C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ENG</w:t>
        </w:r>
      </w:hyperlink>
    </w:p>
    <w:p w:rsidR="003E6F67" w:rsidRPr="00BD55CA" w:rsidRDefault="00EF4D39" w:rsidP="003E6F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E6F67" w:rsidRPr="003E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5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European Council Conclusions on the Energy Union (19 march 2015) </w:t>
      </w:r>
      <w:r w:rsidR="003E6F67" w:rsidRPr="003E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F67" w:rsidRPr="003E6F67">
        <w:rPr>
          <w:rFonts w:ascii="Times New Roman" w:hAnsi="Times New Roman" w:cs="Times New Roman"/>
          <w:sz w:val="28"/>
          <w:szCs w:val="28"/>
        </w:rPr>
        <w:t>[Електронний ресурс]. – Режим доступу:</w:t>
      </w:r>
      <w:r w:rsidR="003E6F67" w:rsidRPr="003E6F6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EC14C2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http://www.consilium.europa.eu/en/press/press-releases/2015/03/conclusions-energy-european-council-march-2015/</w:t>
        </w:r>
      </w:hyperlink>
    </w:p>
    <w:p w:rsidR="00DB4082" w:rsidRPr="00412D7E" w:rsidRDefault="00DB4082" w:rsidP="00DB4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B4082" w:rsidRPr="00412D7E" w:rsidSect="000022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0A16"/>
    <w:multiLevelType w:val="hybridMultilevel"/>
    <w:tmpl w:val="746CB664"/>
    <w:lvl w:ilvl="0" w:tplc="3EBE6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51B76"/>
    <w:multiLevelType w:val="hybridMultilevel"/>
    <w:tmpl w:val="5ECC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229E"/>
    <w:rsid w:val="0000229E"/>
    <w:rsid w:val="000135BF"/>
    <w:rsid w:val="00013989"/>
    <w:rsid w:val="0002664D"/>
    <w:rsid w:val="00063A39"/>
    <w:rsid w:val="000B184D"/>
    <w:rsid w:val="000F305E"/>
    <w:rsid w:val="00160C47"/>
    <w:rsid w:val="001B5EAF"/>
    <w:rsid w:val="001B6BC8"/>
    <w:rsid w:val="001F0126"/>
    <w:rsid w:val="001F4608"/>
    <w:rsid w:val="00200414"/>
    <w:rsid w:val="00215B74"/>
    <w:rsid w:val="0021711D"/>
    <w:rsid w:val="00231505"/>
    <w:rsid w:val="00243772"/>
    <w:rsid w:val="00260414"/>
    <w:rsid w:val="00265E39"/>
    <w:rsid w:val="00292BFE"/>
    <w:rsid w:val="002A7027"/>
    <w:rsid w:val="002E4B91"/>
    <w:rsid w:val="00301FAB"/>
    <w:rsid w:val="0032058D"/>
    <w:rsid w:val="00360C6F"/>
    <w:rsid w:val="0037334C"/>
    <w:rsid w:val="00376D64"/>
    <w:rsid w:val="00377944"/>
    <w:rsid w:val="003B21B9"/>
    <w:rsid w:val="003E6D7E"/>
    <w:rsid w:val="003E6F67"/>
    <w:rsid w:val="00412D7E"/>
    <w:rsid w:val="00423E64"/>
    <w:rsid w:val="00442B97"/>
    <w:rsid w:val="00456671"/>
    <w:rsid w:val="00462F0F"/>
    <w:rsid w:val="004D5AAC"/>
    <w:rsid w:val="005133D8"/>
    <w:rsid w:val="00565FFB"/>
    <w:rsid w:val="00576C80"/>
    <w:rsid w:val="005A7862"/>
    <w:rsid w:val="00625344"/>
    <w:rsid w:val="00636CAB"/>
    <w:rsid w:val="006514A9"/>
    <w:rsid w:val="0067110E"/>
    <w:rsid w:val="006967F5"/>
    <w:rsid w:val="006C111D"/>
    <w:rsid w:val="006F53BE"/>
    <w:rsid w:val="00701B9D"/>
    <w:rsid w:val="0071106F"/>
    <w:rsid w:val="007741D1"/>
    <w:rsid w:val="00774FC8"/>
    <w:rsid w:val="00787453"/>
    <w:rsid w:val="007A5D4A"/>
    <w:rsid w:val="007C0573"/>
    <w:rsid w:val="007D7D7F"/>
    <w:rsid w:val="007E32CE"/>
    <w:rsid w:val="007F22D6"/>
    <w:rsid w:val="007F473E"/>
    <w:rsid w:val="00831B6C"/>
    <w:rsid w:val="00837526"/>
    <w:rsid w:val="0088438C"/>
    <w:rsid w:val="00893104"/>
    <w:rsid w:val="008A1387"/>
    <w:rsid w:val="008E1067"/>
    <w:rsid w:val="008E25B6"/>
    <w:rsid w:val="008E732B"/>
    <w:rsid w:val="0090056D"/>
    <w:rsid w:val="0094330E"/>
    <w:rsid w:val="00946285"/>
    <w:rsid w:val="00947635"/>
    <w:rsid w:val="00953CD0"/>
    <w:rsid w:val="00976C4F"/>
    <w:rsid w:val="009873C9"/>
    <w:rsid w:val="00A051E0"/>
    <w:rsid w:val="00A21289"/>
    <w:rsid w:val="00A42304"/>
    <w:rsid w:val="00A4483E"/>
    <w:rsid w:val="00A86186"/>
    <w:rsid w:val="00AE29D3"/>
    <w:rsid w:val="00AE4E95"/>
    <w:rsid w:val="00AF203F"/>
    <w:rsid w:val="00B03E28"/>
    <w:rsid w:val="00B4737B"/>
    <w:rsid w:val="00B72095"/>
    <w:rsid w:val="00B9076C"/>
    <w:rsid w:val="00B93CC6"/>
    <w:rsid w:val="00BD09F8"/>
    <w:rsid w:val="00BD1FE3"/>
    <w:rsid w:val="00BD55CA"/>
    <w:rsid w:val="00BE5372"/>
    <w:rsid w:val="00BF02DB"/>
    <w:rsid w:val="00C0502D"/>
    <w:rsid w:val="00C14B69"/>
    <w:rsid w:val="00C667FC"/>
    <w:rsid w:val="00C80372"/>
    <w:rsid w:val="00C92779"/>
    <w:rsid w:val="00C9706E"/>
    <w:rsid w:val="00CA1261"/>
    <w:rsid w:val="00CB7D9F"/>
    <w:rsid w:val="00CC5DF3"/>
    <w:rsid w:val="00CD4CCD"/>
    <w:rsid w:val="00CE0B43"/>
    <w:rsid w:val="00CF3A41"/>
    <w:rsid w:val="00D02A67"/>
    <w:rsid w:val="00D03BDE"/>
    <w:rsid w:val="00D05D95"/>
    <w:rsid w:val="00D23C24"/>
    <w:rsid w:val="00D35F18"/>
    <w:rsid w:val="00D4551C"/>
    <w:rsid w:val="00D63DE3"/>
    <w:rsid w:val="00D707E2"/>
    <w:rsid w:val="00D731A8"/>
    <w:rsid w:val="00D826DB"/>
    <w:rsid w:val="00D85042"/>
    <w:rsid w:val="00D920BB"/>
    <w:rsid w:val="00D95547"/>
    <w:rsid w:val="00DA62B0"/>
    <w:rsid w:val="00DB4082"/>
    <w:rsid w:val="00DC6C01"/>
    <w:rsid w:val="00E50A70"/>
    <w:rsid w:val="00E66F9F"/>
    <w:rsid w:val="00E90E12"/>
    <w:rsid w:val="00E92FB9"/>
    <w:rsid w:val="00EA2386"/>
    <w:rsid w:val="00EA6F69"/>
    <w:rsid w:val="00EA76F0"/>
    <w:rsid w:val="00EB03AB"/>
    <w:rsid w:val="00EC68FB"/>
    <w:rsid w:val="00EF4D39"/>
    <w:rsid w:val="00F06B61"/>
    <w:rsid w:val="00F373E4"/>
    <w:rsid w:val="00F50F24"/>
    <w:rsid w:val="00F63592"/>
    <w:rsid w:val="00FA106B"/>
    <w:rsid w:val="00FA5CB0"/>
    <w:rsid w:val="00FB70A0"/>
    <w:rsid w:val="00FE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1D"/>
    <w:rPr>
      <w:lang w:val="uk-UA"/>
    </w:rPr>
  </w:style>
  <w:style w:type="paragraph" w:styleId="1">
    <w:name w:val="heading 1"/>
    <w:basedOn w:val="a"/>
    <w:link w:val="10"/>
    <w:uiPriority w:val="9"/>
    <w:qFormat/>
    <w:rsid w:val="00BD5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nhideWhenUsed/>
    <w:rsid w:val="003E6F6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6F6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D55C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5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m.europa.eu/en/press/press-releases/2015/03/conclusions-energy-european-council-march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N/TXT/?uri=uriserv:OJ.L_.2009.211.01.0094.01.ENG" TargetMode="External"/><Relationship Id="rId5" Type="http://schemas.openxmlformats.org/officeDocument/2006/relationships/hyperlink" Target="http://www.ukrstat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Натали</cp:lastModifiedBy>
  <cp:revision>2</cp:revision>
  <dcterms:created xsi:type="dcterms:W3CDTF">2016-06-01T06:00:00Z</dcterms:created>
  <dcterms:modified xsi:type="dcterms:W3CDTF">2016-06-01T06:00:00Z</dcterms:modified>
</cp:coreProperties>
</file>