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bookmarkStart w:id="0" w:name="_GoBack"/>
      <w:bookmarkEnd w:id="0"/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E329C8">
        <w:rPr>
          <w:b/>
          <w:color w:val="000000"/>
          <w:sz w:val="28"/>
          <w:szCs w:val="28"/>
          <w:lang w:val="uk-UA" w:eastAsia="ar-SA"/>
        </w:rPr>
        <w:t>Адвокатура в Україні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="00E329C8">
        <w:rPr>
          <w:color w:val="000000"/>
          <w:sz w:val="28"/>
          <w:szCs w:val="28"/>
          <w:lang w:val="uk-UA" w:eastAsia="ar-SA"/>
        </w:rPr>
        <w:t>3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Pr="00C0504A">
        <w:rPr>
          <w:color w:val="000000"/>
          <w:sz w:val="28"/>
          <w:szCs w:val="28"/>
          <w:lang w:val="uk-UA" w:eastAsia="ar-SA"/>
        </w:rPr>
        <w:t>курсу</w:t>
      </w:r>
    </w:p>
    <w:p w:rsidR="00992841" w:rsidRPr="00E329C8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  <w:r w:rsidR="00E329C8" w:rsidRPr="00E329C8">
        <w:rPr>
          <w:color w:val="000000"/>
          <w:sz w:val="28"/>
          <w:szCs w:val="28"/>
          <w:u w:val="single"/>
          <w:lang w:val="uk-UA" w:eastAsia="ar-SA"/>
        </w:rPr>
        <w:t>6.030401 «Правознавство»</w:t>
      </w:r>
    </w:p>
    <w:p w:rsidR="00992841" w:rsidRPr="00C0504A" w:rsidRDefault="00E329C8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 xml:space="preserve"> </w:t>
      </w:r>
      <w:r w:rsidR="00992841"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="00812652">
        <w:rPr>
          <w:color w:val="000000"/>
          <w:sz w:val="28"/>
          <w:szCs w:val="28"/>
          <w:u w:val="single"/>
          <w:lang w:val="uk-UA" w:eastAsia="ar-SA"/>
        </w:rPr>
        <w:t>старший викладач Тодосієнко А.О.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E82D7B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C0504A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  <w:t xml:space="preserve"> 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Протокол № </w:t>
      </w:r>
      <w:r w:rsidR="00E82D7B">
        <w:rPr>
          <w:sz w:val="28"/>
          <w:szCs w:val="28"/>
          <w:lang w:val="uk-UA" w:eastAsia="ar-SA"/>
        </w:rPr>
        <w:t xml:space="preserve">   </w:t>
      </w:r>
      <w:r w:rsidRPr="00C0504A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8216A1" w:rsidRDefault="00992841" w:rsidP="00992841">
      <w:pPr>
        <w:pStyle w:val="a3"/>
        <w:spacing w:line="276" w:lineRule="auto"/>
        <w:ind w:firstLine="567"/>
        <w:jc w:val="both"/>
        <w:rPr>
          <w:b/>
          <w:lang w:val="ru-RU"/>
        </w:rPr>
      </w:pPr>
      <w:r>
        <w:rPr>
          <w:lang w:val="uk-UA" w:eastAsia="ar-SA"/>
        </w:rPr>
        <w:t xml:space="preserve">                                               </w:t>
      </w:r>
      <w:r w:rsidRPr="00C0504A">
        <w:rPr>
          <w:lang w:val="uk-UA" w:eastAsia="ar-SA"/>
        </w:rPr>
        <w:t>Завідувач кафедри</w:t>
      </w:r>
      <w:r>
        <w:rPr>
          <w:lang w:val="uk-UA" w:eastAsia="ar-SA"/>
        </w:rPr>
        <w:t xml:space="preserve"> </w:t>
      </w:r>
      <w:r w:rsidRPr="00C0504A">
        <w:rPr>
          <w:lang w:val="uk-UA" w:eastAsia="ar-SA"/>
        </w:rPr>
        <w:t>____________________</w:t>
      </w:r>
      <w:r w:rsidRPr="00C0504A">
        <w:rPr>
          <w:color w:val="000000"/>
          <w:lang w:val="uk-UA" w:eastAsia="ar-SA"/>
        </w:rPr>
        <w:t> </w:t>
      </w:r>
    </w:p>
    <w:p w:rsidR="00C656B7" w:rsidRDefault="00C656B7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1B4BAB" w:rsidRDefault="001B4BAB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P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lastRenderedPageBreak/>
        <w:t>Контрольна</w:t>
      </w:r>
      <w:proofErr w:type="spellEnd"/>
      <w:r w:rsidRPr="00992841">
        <w:rPr>
          <w:lang w:val="ru-RU"/>
        </w:rPr>
        <w:t xml:space="preserve"> робота повинна </w:t>
      </w:r>
      <w:proofErr w:type="spellStart"/>
      <w:r w:rsidRPr="00992841">
        <w:rPr>
          <w:lang w:val="ru-RU"/>
        </w:rPr>
        <w:t>відображати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окремі</w:t>
      </w:r>
      <w:proofErr w:type="spellEnd"/>
      <w:r w:rsidRPr="00992841">
        <w:rPr>
          <w:lang w:val="ru-RU"/>
        </w:rPr>
        <w:t xml:space="preserve"> теоретико-</w:t>
      </w:r>
      <w:proofErr w:type="spellStart"/>
      <w:r w:rsidRPr="00992841">
        <w:rPr>
          <w:lang w:val="ru-RU"/>
        </w:rPr>
        <w:t>практичні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проблеми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виконуватися</w:t>
      </w:r>
      <w:proofErr w:type="spellEnd"/>
      <w:r w:rsidRPr="00992841">
        <w:rPr>
          <w:lang w:val="ru-RU"/>
        </w:rPr>
        <w:t xml:space="preserve"> студентом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ісля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вибору</w:t>
      </w:r>
      <w:proofErr w:type="spellEnd"/>
      <w:r w:rsidRPr="00992841">
        <w:rPr>
          <w:lang w:val="ru-RU"/>
        </w:rPr>
        <w:t xml:space="preserve"> ним </w:t>
      </w:r>
      <w:proofErr w:type="spellStart"/>
      <w:r w:rsidRPr="00992841">
        <w:rPr>
          <w:lang w:val="ru-RU"/>
        </w:rPr>
        <w:t>тієї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іншої</w:t>
      </w:r>
      <w:proofErr w:type="spellEnd"/>
      <w:r w:rsidRPr="00992841">
        <w:rPr>
          <w:lang w:val="ru-RU"/>
        </w:rPr>
        <w:t xml:space="preserve"> теми (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). </w:t>
      </w:r>
      <w:proofErr w:type="spellStart"/>
      <w:r w:rsidRPr="00992841">
        <w:rPr>
          <w:lang w:val="ru-RU"/>
        </w:rPr>
        <w:t>Виходячи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специфічних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особливостей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реферату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контрольного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(в </w:t>
      </w:r>
      <w:proofErr w:type="spellStart"/>
      <w:r w:rsidRPr="00992841">
        <w:rPr>
          <w:lang w:val="ru-RU"/>
        </w:rPr>
        <w:t>якому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розв'язується</w:t>
      </w:r>
      <w:proofErr w:type="spellEnd"/>
      <w:r w:rsidRPr="00992841">
        <w:rPr>
          <w:lang w:val="ru-RU"/>
        </w:rPr>
        <w:t xml:space="preserve"> </w:t>
      </w:r>
      <w:proofErr w:type="gramStart"/>
      <w:r w:rsidRPr="00992841">
        <w:rPr>
          <w:lang w:val="ru-RU"/>
        </w:rPr>
        <w:t>конкретна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аналітична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ситуація</w:t>
      </w:r>
      <w:proofErr w:type="spellEnd"/>
      <w:r w:rsidRPr="00992841">
        <w:rPr>
          <w:lang w:val="ru-RU"/>
        </w:rPr>
        <w:t xml:space="preserve">). В </w:t>
      </w:r>
      <w:proofErr w:type="spellStart"/>
      <w:r w:rsidRPr="00992841">
        <w:rPr>
          <w:lang w:val="ru-RU"/>
        </w:rPr>
        <w:t>окремих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випадках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виключається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поєднання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вказаних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двох</w:t>
      </w:r>
      <w:proofErr w:type="spellEnd"/>
      <w:r w:rsidRPr="00992841">
        <w:rPr>
          <w:lang w:val="ru-RU"/>
        </w:rPr>
        <w:t xml:space="preserve"> форм </w:t>
      </w:r>
      <w:proofErr w:type="spellStart"/>
      <w:r w:rsidRPr="00992841">
        <w:rPr>
          <w:lang w:val="ru-RU"/>
        </w:rPr>
        <w:t>контрольної</w:t>
      </w:r>
      <w:proofErr w:type="spellEnd"/>
      <w:r w:rsidRPr="00992841">
        <w:rPr>
          <w:spacing w:val="-5"/>
          <w:lang w:val="ru-RU"/>
        </w:rPr>
        <w:t xml:space="preserve"> </w:t>
      </w:r>
      <w:proofErr w:type="spellStart"/>
      <w:r w:rsidRPr="00992841">
        <w:rPr>
          <w:lang w:val="ru-RU"/>
        </w:rPr>
        <w:t>роботи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є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сформульованим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поставленим</w:t>
      </w:r>
      <w:proofErr w:type="spellEnd"/>
      <w:r w:rsidRPr="00992841">
        <w:rPr>
          <w:lang w:val="ru-RU"/>
        </w:rPr>
        <w:t xml:space="preserve"> в </w:t>
      </w:r>
      <w:proofErr w:type="gramStart"/>
      <w:r w:rsidRPr="00992841">
        <w:rPr>
          <w:lang w:val="ru-RU"/>
        </w:rPr>
        <w:t>проблемному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плані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конкретним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науковим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завданням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виражається</w:t>
      </w:r>
      <w:proofErr w:type="spellEnd"/>
      <w:r w:rsidRPr="00992841">
        <w:rPr>
          <w:lang w:val="ru-RU"/>
        </w:rPr>
        <w:t xml:space="preserve"> в </w:t>
      </w:r>
      <w:proofErr w:type="spellStart"/>
      <w:r w:rsidRPr="00992841">
        <w:rPr>
          <w:lang w:val="ru-RU"/>
        </w:rPr>
        <w:t>пошуку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можливих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варіантів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шляхів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його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розв'язання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Незважаючи</w:t>
      </w:r>
      <w:proofErr w:type="spellEnd"/>
      <w:r w:rsidRPr="00992841">
        <w:rPr>
          <w:lang w:val="ru-RU"/>
        </w:rPr>
        <w:t xml:space="preserve"> на </w:t>
      </w:r>
      <w:proofErr w:type="spellStart"/>
      <w:proofErr w:type="gramStart"/>
      <w:r w:rsidRPr="00992841">
        <w:rPr>
          <w:lang w:val="ru-RU"/>
        </w:rPr>
        <w:t>р</w:t>
      </w:r>
      <w:proofErr w:type="gramEnd"/>
      <w:r w:rsidRPr="00992841">
        <w:rPr>
          <w:lang w:val="ru-RU"/>
        </w:rPr>
        <w:t>ізноманітність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завдань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обумовлених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специфікою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алгоритм </w:t>
      </w:r>
      <w:proofErr w:type="spellStart"/>
      <w:r w:rsidRPr="00992841">
        <w:rPr>
          <w:lang w:val="ru-RU"/>
        </w:rPr>
        <w:t>їх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виконання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включає</w:t>
      </w:r>
      <w:proofErr w:type="spellEnd"/>
      <w:r w:rsidRPr="00992841">
        <w:rPr>
          <w:lang w:val="ru-RU"/>
        </w:rPr>
        <w:t>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уточнення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,  </w:t>
      </w: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необхідних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джерел</w:t>
      </w:r>
      <w:proofErr w:type="spellEnd"/>
      <w:r w:rsidRPr="00992841">
        <w:rPr>
          <w:sz w:val="28"/>
          <w:szCs w:val="28"/>
          <w:lang w:val="ru-RU"/>
        </w:rPr>
        <w:t xml:space="preserve">  для 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pacing w:val="-23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ним</w:t>
      </w:r>
      <w:proofErr w:type="spellEnd"/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тенденцій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процесів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що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випливають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>,</w:t>
      </w:r>
      <w:r w:rsidRPr="0099284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теоретичне</w:t>
      </w:r>
      <w:proofErr w:type="spellEnd"/>
      <w:proofErr w:type="gramEnd"/>
      <w:r w:rsidRPr="00992841">
        <w:t xml:space="preserve"> </w:t>
      </w:r>
      <w:proofErr w:type="spellStart"/>
      <w:r w:rsidRPr="00992841">
        <w:t>обгрунтування</w:t>
      </w:r>
      <w:proofErr w:type="spellEnd"/>
      <w:r w:rsidRPr="00992841">
        <w:t xml:space="preserve"> </w:t>
      </w:r>
      <w:proofErr w:type="spellStart"/>
      <w:r w:rsidRPr="00992841">
        <w:t>та</w:t>
      </w:r>
      <w:proofErr w:type="spellEnd"/>
      <w:r w:rsidRPr="00992841">
        <w:t xml:space="preserve"> </w:t>
      </w:r>
      <w:proofErr w:type="spellStart"/>
      <w:r w:rsidRPr="00992841">
        <w:t>оцінка</w:t>
      </w:r>
      <w:proofErr w:type="spell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здійснення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конкретного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вирішення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власний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варіант</w:t>
      </w:r>
      <w:proofErr w:type="spellEnd"/>
      <w:r w:rsidRPr="00992841">
        <w:rPr>
          <w:sz w:val="28"/>
          <w:szCs w:val="28"/>
          <w:lang w:val="ru-RU"/>
        </w:rPr>
        <w:t xml:space="preserve">), </w:t>
      </w:r>
      <w:proofErr w:type="spellStart"/>
      <w:r w:rsidRPr="00992841">
        <w:rPr>
          <w:sz w:val="28"/>
          <w:szCs w:val="28"/>
          <w:lang w:val="ru-RU"/>
        </w:rPr>
        <w:t>його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</w:t>
      </w:r>
      <w:proofErr w:type="spellEnd"/>
      <w:r w:rsidRPr="00992841">
        <w:rPr>
          <w:sz w:val="28"/>
          <w:szCs w:val="28"/>
          <w:lang w:val="ru-RU"/>
        </w:rPr>
        <w:t xml:space="preserve"> та</w:t>
      </w:r>
      <w:r w:rsidRPr="00992841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інтерпретація</w:t>
      </w:r>
      <w:proofErr w:type="spellEnd"/>
      <w:r w:rsidRPr="00992841">
        <w:rPr>
          <w:sz w:val="28"/>
          <w:szCs w:val="28"/>
          <w:lang w:val="ru-RU"/>
        </w:rPr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формулювання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заключних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висновків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викладанням</w:t>
      </w:r>
      <w:proofErr w:type="spellEnd"/>
      <w:r w:rsidRPr="00992841">
        <w:rPr>
          <w:sz w:val="28"/>
          <w:szCs w:val="28"/>
          <w:lang w:val="ru-RU"/>
        </w:rPr>
        <w:t xml:space="preserve"> прогнозу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процесу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явища</w:t>
      </w:r>
      <w:proofErr w:type="spellEnd"/>
      <w:r w:rsidRPr="00992841">
        <w:rPr>
          <w:sz w:val="28"/>
          <w:szCs w:val="28"/>
          <w:lang w:val="ru-RU"/>
        </w:rPr>
        <w:t xml:space="preserve">) </w:t>
      </w:r>
      <w:proofErr w:type="gramStart"/>
      <w:r w:rsidRPr="00992841">
        <w:rPr>
          <w:sz w:val="28"/>
          <w:szCs w:val="28"/>
          <w:lang w:val="ru-RU"/>
        </w:rPr>
        <w:t>в</w:t>
      </w:r>
      <w:proofErr w:type="gramEnd"/>
      <w:r w:rsidRPr="00992841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перспективі</w:t>
      </w:r>
      <w:proofErr w:type="spellEnd"/>
      <w:r w:rsidRPr="00992841">
        <w:rPr>
          <w:sz w:val="28"/>
          <w:szCs w:val="28"/>
          <w:lang w:val="ru-RU"/>
        </w:rPr>
        <w:t>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студентами </w:t>
      </w:r>
      <w:proofErr w:type="spellStart"/>
      <w:r w:rsidRPr="00992841">
        <w:rPr>
          <w:lang w:val="ru-RU"/>
        </w:rPr>
        <w:t>самостійно</w:t>
      </w:r>
      <w:proofErr w:type="spellEnd"/>
      <w:r w:rsidRPr="00992841">
        <w:rPr>
          <w:lang w:val="ru-RU"/>
        </w:rPr>
        <w:t xml:space="preserve">. Вона повинна бути </w:t>
      </w:r>
      <w:proofErr w:type="spellStart"/>
      <w:r w:rsidRPr="00992841">
        <w:rPr>
          <w:lang w:val="ru-RU"/>
        </w:rPr>
        <w:t>викладена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та </w:t>
      </w:r>
      <w:proofErr w:type="spellStart"/>
      <w:proofErr w:type="gramStart"/>
      <w:r w:rsidRPr="00992841">
        <w:rPr>
          <w:lang w:val="ru-RU"/>
        </w:rPr>
        <w:t>техн</w:t>
      </w:r>
      <w:proofErr w:type="gramEnd"/>
      <w:r w:rsidRPr="00992841">
        <w:rPr>
          <w:lang w:val="ru-RU"/>
        </w:rPr>
        <w:t>ічно</w:t>
      </w:r>
      <w:proofErr w:type="spellEnd"/>
      <w:r w:rsidRPr="00992841">
        <w:rPr>
          <w:lang w:val="ru-RU"/>
        </w:rPr>
        <w:t xml:space="preserve">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Робота </w:t>
      </w:r>
      <w:proofErr w:type="spellStart"/>
      <w:r w:rsidRPr="00992841">
        <w:rPr>
          <w:sz w:val="28"/>
          <w:szCs w:val="28"/>
          <w:lang w:val="ru-RU"/>
        </w:rPr>
        <w:t>виконана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порушенням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даних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вимог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повертається</w:t>
      </w:r>
      <w:proofErr w:type="spellEnd"/>
      <w:r w:rsidRPr="00992841">
        <w:rPr>
          <w:sz w:val="28"/>
          <w:szCs w:val="28"/>
          <w:lang w:val="ru-RU"/>
        </w:rPr>
        <w:t xml:space="preserve">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Структурно роботу </w:t>
      </w:r>
      <w:proofErr w:type="spellStart"/>
      <w:r w:rsidRPr="00992841">
        <w:rPr>
          <w:sz w:val="28"/>
          <w:szCs w:val="28"/>
          <w:lang w:val="ru-RU"/>
        </w:rPr>
        <w:t>умовно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поділяють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на</w:t>
      </w:r>
      <w:proofErr w:type="gramEnd"/>
      <w:r w:rsidRPr="00992841">
        <w:rPr>
          <w:sz w:val="28"/>
          <w:szCs w:val="28"/>
          <w:lang w:val="ru-RU"/>
        </w:rPr>
        <w:t>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 </w:t>
      </w: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992841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 xml:space="preserve">До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проведення</w:t>
      </w:r>
      <w:proofErr w:type="spellEnd"/>
      <w:r w:rsidRPr="00992841">
        <w:rPr>
          <w:sz w:val="28"/>
          <w:szCs w:val="28"/>
          <w:lang w:val="ru-RU"/>
        </w:rPr>
        <w:t xml:space="preserve"> студент, за</w:t>
      </w:r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наявності</w:t>
      </w:r>
      <w:proofErr w:type="spellEnd"/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зауважень</w:t>
      </w:r>
      <w:proofErr w:type="spellEnd"/>
      <w:r w:rsidRPr="00992841">
        <w:rPr>
          <w:sz w:val="28"/>
          <w:szCs w:val="28"/>
          <w:lang w:val="ru-RU"/>
        </w:rPr>
        <w:t xml:space="preserve">, повинен </w:t>
      </w:r>
      <w:proofErr w:type="spellStart"/>
      <w:r w:rsidRPr="00992841">
        <w:rPr>
          <w:sz w:val="28"/>
          <w:szCs w:val="28"/>
          <w:lang w:val="ru-RU"/>
        </w:rPr>
        <w:t>усунути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  <w:r w:rsidRPr="00992841">
        <w:rPr>
          <w:sz w:val="28"/>
          <w:szCs w:val="28"/>
          <w:lang w:val="ru-RU"/>
        </w:rPr>
        <w:t xml:space="preserve"> шляхом </w:t>
      </w:r>
      <w:proofErr w:type="spellStart"/>
      <w:r w:rsidRPr="00992841">
        <w:rPr>
          <w:sz w:val="28"/>
          <w:szCs w:val="28"/>
          <w:lang w:val="ru-RU"/>
        </w:rPr>
        <w:t>доповнення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відповідними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поясненнями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кафедри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визначає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ступінь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самостійності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виконання</w:t>
      </w:r>
      <w:proofErr w:type="spellEnd"/>
      <w:r w:rsidRPr="00992841">
        <w:rPr>
          <w:sz w:val="28"/>
          <w:szCs w:val="28"/>
          <w:lang w:val="ru-RU"/>
        </w:rPr>
        <w:t xml:space="preserve">, ставить студенту </w:t>
      </w:r>
      <w:proofErr w:type="spellStart"/>
      <w:r w:rsidRPr="00992841">
        <w:rPr>
          <w:sz w:val="28"/>
          <w:szCs w:val="28"/>
          <w:lang w:val="ru-RU"/>
        </w:rPr>
        <w:t>уточнюючі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 по </w:t>
      </w:r>
      <w:proofErr w:type="spellStart"/>
      <w:r w:rsidRPr="00992841">
        <w:rPr>
          <w:sz w:val="28"/>
          <w:szCs w:val="28"/>
          <w:lang w:val="ru-RU"/>
        </w:rPr>
        <w:t>контрольній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роботі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gramStart"/>
      <w:r w:rsidRPr="00992841">
        <w:rPr>
          <w:sz w:val="28"/>
          <w:szCs w:val="28"/>
          <w:lang w:val="ru-RU"/>
        </w:rPr>
        <w:t>З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урахуванням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і </w:t>
      </w:r>
      <w:proofErr w:type="spellStart"/>
      <w:r w:rsidRPr="00992841">
        <w:rPr>
          <w:sz w:val="28"/>
          <w:szCs w:val="28"/>
          <w:lang w:val="ru-RU"/>
        </w:rPr>
        <w:t>відповідей</w:t>
      </w:r>
      <w:proofErr w:type="spellEnd"/>
      <w:r w:rsidRPr="00992841">
        <w:rPr>
          <w:sz w:val="28"/>
          <w:szCs w:val="28"/>
          <w:lang w:val="ru-RU"/>
        </w:rPr>
        <w:t xml:space="preserve"> студента на </w:t>
      </w:r>
      <w:proofErr w:type="spellStart"/>
      <w:r w:rsidRPr="00992841">
        <w:rPr>
          <w:sz w:val="28"/>
          <w:szCs w:val="28"/>
          <w:lang w:val="ru-RU"/>
        </w:rPr>
        <w:t>поставлені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оцінює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«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 xml:space="preserve">» </w:t>
      </w:r>
      <w:proofErr w:type="spellStart"/>
      <w:r w:rsidRPr="00992841">
        <w:rPr>
          <w:sz w:val="28"/>
          <w:szCs w:val="28"/>
          <w:lang w:val="ru-RU"/>
        </w:rPr>
        <w:t>або</w:t>
      </w:r>
      <w:proofErr w:type="spellEnd"/>
      <w:r w:rsidRPr="00992841">
        <w:rPr>
          <w:sz w:val="28"/>
          <w:szCs w:val="28"/>
          <w:lang w:val="ru-RU"/>
        </w:rPr>
        <w:t xml:space="preserve"> «не 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>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</w:t>
      </w:r>
      <w:r w:rsidRPr="00992841">
        <w:rPr>
          <w:b/>
          <w:bCs/>
          <w:sz w:val="28"/>
          <w:szCs w:val="28"/>
          <w:lang w:val="uk-UA"/>
        </w:rPr>
        <w:t xml:space="preserve"> </w:t>
      </w:r>
      <w:r w:rsidRPr="00992841">
        <w:rPr>
          <w:sz w:val="28"/>
          <w:szCs w:val="28"/>
          <w:lang w:val="uk-UA"/>
        </w:rPr>
        <w:t>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робота повинна бути </w:t>
      </w:r>
      <w:proofErr w:type="spellStart"/>
      <w:r w:rsidR="00992841" w:rsidRPr="00992841">
        <w:rPr>
          <w:lang w:val="ru-RU"/>
        </w:rPr>
        <w:t>здана</w:t>
      </w:r>
      <w:proofErr w:type="spellEnd"/>
      <w:r w:rsidR="00992841" w:rsidRPr="00992841">
        <w:rPr>
          <w:lang w:val="ru-RU"/>
        </w:rPr>
        <w:t xml:space="preserve"> на кафедру</w:t>
      </w:r>
      <w:r w:rsidRPr="00992841">
        <w:rPr>
          <w:lang w:val="ru-RU"/>
        </w:rPr>
        <w:t xml:space="preserve"> не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ізніше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ніж</w:t>
      </w:r>
      <w:proofErr w:type="spellEnd"/>
      <w:r w:rsidRPr="00992841">
        <w:rPr>
          <w:lang w:val="ru-RU"/>
        </w:rPr>
        <w:t xml:space="preserve"> за </w:t>
      </w:r>
      <w:r w:rsidR="00992841" w:rsidRPr="00992841">
        <w:rPr>
          <w:lang w:val="ru-RU"/>
        </w:rPr>
        <w:t>2</w:t>
      </w:r>
      <w:r w:rsidRPr="00992841">
        <w:rPr>
          <w:lang w:val="ru-RU"/>
        </w:rPr>
        <w:t xml:space="preserve"> </w:t>
      </w:r>
      <w:proofErr w:type="spellStart"/>
      <w:r w:rsidR="00992841" w:rsidRPr="00992841">
        <w:rPr>
          <w:lang w:val="ru-RU"/>
        </w:rPr>
        <w:t>тижні</w:t>
      </w:r>
      <w:proofErr w:type="spellEnd"/>
      <w:r w:rsidRPr="00992841">
        <w:rPr>
          <w:lang w:val="ru-RU"/>
        </w:rPr>
        <w:t xml:space="preserve"> до початку </w:t>
      </w:r>
      <w:proofErr w:type="spellStart"/>
      <w:r w:rsidRPr="00992841">
        <w:rPr>
          <w:lang w:val="ru-RU"/>
        </w:rPr>
        <w:t>сесії</w:t>
      </w:r>
      <w:proofErr w:type="spellEnd"/>
      <w:r w:rsidRPr="00992841">
        <w:rPr>
          <w:lang w:val="ru-RU"/>
        </w:rPr>
        <w:t xml:space="preserve">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Якщо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без </w:t>
      </w:r>
      <w:proofErr w:type="spellStart"/>
      <w:r w:rsidRPr="00992841">
        <w:rPr>
          <w:lang w:val="ru-RU"/>
        </w:rPr>
        <w:t>дотримання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рекомендацій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повністю</w:t>
      </w:r>
      <w:proofErr w:type="spellEnd"/>
      <w:r w:rsidRPr="00992841">
        <w:rPr>
          <w:lang w:val="ru-RU"/>
        </w:rPr>
        <w:t xml:space="preserve">, вона </w:t>
      </w:r>
      <w:proofErr w:type="spellStart"/>
      <w:r w:rsidRPr="00992841">
        <w:rPr>
          <w:lang w:val="ru-RU"/>
        </w:rPr>
        <w:t>повертається</w:t>
      </w:r>
      <w:proofErr w:type="spellEnd"/>
      <w:r w:rsidRPr="00992841">
        <w:rPr>
          <w:lang w:val="ru-RU"/>
        </w:rPr>
        <w:t xml:space="preserve"> студенту </w:t>
      </w:r>
      <w:proofErr w:type="gramStart"/>
      <w:r w:rsidRPr="00992841">
        <w:rPr>
          <w:lang w:val="ru-RU"/>
        </w:rPr>
        <w:t>без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перевірки</w:t>
      </w:r>
      <w:proofErr w:type="spellEnd"/>
      <w:r w:rsidRPr="00992841">
        <w:rPr>
          <w:lang w:val="ru-RU"/>
        </w:rPr>
        <w:t xml:space="preserve"> на </w:t>
      </w:r>
      <w:proofErr w:type="spellStart"/>
      <w:r w:rsidRPr="00992841">
        <w:rPr>
          <w:lang w:val="ru-RU"/>
        </w:rPr>
        <w:t>доопрацювання</w:t>
      </w:r>
      <w:proofErr w:type="spellEnd"/>
      <w:r w:rsidRPr="00992841">
        <w:rPr>
          <w:lang w:val="ru-RU"/>
        </w:rPr>
        <w:t>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002CC5" w:rsidRP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002CC5" w:rsidRPr="00002CC5" w:rsidRDefault="00002CC5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ru-RU"/>
        </w:rPr>
      </w:pPr>
      <w:r w:rsidRPr="00002CC5">
        <w:rPr>
          <w:b/>
          <w:bCs/>
          <w:sz w:val="28"/>
          <w:szCs w:val="28"/>
          <w:lang w:val="ru-RU"/>
        </w:rPr>
        <w:t xml:space="preserve">1.Основні </w:t>
      </w:r>
      <w:proofErr w:type="spellStart"/>
      <w:r w:rsidRPr="00002CC5">
        <w:rPr>
          <w:b/>
          <w:bCs/>
          <w:sz w:val="28"/>
          <w:szCs w:val="28"/>
          <w:lang w:val="ru-RU"/>
        </w:rPr>
        <w:t>рекомендовані</w:t>
      </w:r>
      <w:proofErr w:type="spellEnd"/>
      <w:r w:rsidRPr="00002CC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02CC5">
        <w:rPr>
          <w:b/>
          <w:bCs/>
          <w:sz w:val="28"/>
          <w:szCs w:val="28"/>
          <w:lang w:val="ru-RU"/>
        </w:rPr>
        <w:t>джерела</w:t>
      </w:r>
      <w:proofErr w:type="spellEnd"/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 w:eastAsia="uk-UA"/>
        </w:rPr>
      </w:pPr>
      <w:r w:rsidRPr="00F5368D">
        <w:rPr>
          <w:bCs/>
          <w:color w:val="000000"/>
          <w:sz w:val="28"/>
          <w:szCs w:val="28"/>
          <w:lang w:val="uk"/>
        </w:rPr>
        <w:t>1.1.</w:t>
      </w:r>
      <w:r w:rsidRPr="00F5368D">
        <w:rPr>
          <w:color w:val="000000"/>
          <w:sz w:val="28"/>
          <w:szCs w:val="28"/>
          <w:lang w:eastAsia="uk-UA"/>
        </w:rPr>
        <w:t> 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Хавронюк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М.</w:t>
      </w:r>
      <w:r w:rsidRPr="00F5368D">
        <w:rPr>
          <w:color w:val="000000"/>
          <w:sz w:val="28"/>
          <w:szCs w:val="28"/>
          <w:lang w:eastAsia="uk-UA"/>
        </w:rPr>
        <w:t> </w:t>
      </w:r>
      <w:r w:rsidRPr="00002CC5">
        <w:rPr>
          <w:color w:val="000000"/>
          <w:sz w:val="28"/>
          <w:szCs w:val="28"/>
          <w:lang w:val="ru-RU" w:eastAsia="uk-UA"/>
        </w:rPr>
        <w:t xml:space="preserve">І.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Кримінальне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законодавство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України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інших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держав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континентальної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Європи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: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порівняльний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аналіз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проблеми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гармонізації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>. – К.: Юрисконсульт, 2006. – 1048 с.</w:t>
      </w: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/>
        </w:rPr>
      </w:pPr>
      <w:r w:rsidRPr="00002CC5">
        <w:rPr>
          <w:color w:val="000000"/>
          <w:sz w:val="28"/>
          <w:szCs w:val="28"/>
          <w:lang w:val="ru-RU"/>
        </w:rPr>
        <w:t>1.2.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Уголовное право зарубежных стран. Общая часть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/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Под</w:t>
      </w:r>
      <w:proofErr w:type="gramStart"/>
      <w:r w:rsidRPr="00002CC5">
        <w:rPr>
          <w:color w:val="000000"/>
          <w:sz w:val="28"/>
          <w:szCs w:val="28"/>
          <w:lang w:val="ru-RU"/>
        </w:rPr>
        <w:t>.</w:t>
      </w:r>
      <w:proofErr w:type="gramEnd"/>
      <w:r w:rsidRPr="00002CC5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002CC5">
        <w:rPr>
          <w:color w:val="000000"/>
          <w:sz w:val="28"/>
          <w:szCs w:val="28"/>
          <w:lang w:val="ru-RU"/>
        </w:rPr>
        <w:t>р</w:t>
      </w:r>
      <w:proofErr w:type="gramEnd"/>
      <w:r w:rsidRPr="00002CC5">
        <w:rPr>
          <w:color w:val="000000"/>
          <w:sz w:val="28"/>
          <w:szCs w:val="28"/>
          <w:lang w:val="ru-RU"/>
        </w:rPr>
        <w:t>ед. И.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Д.</w:t>
      </w:r>
      <w:r w:rsidRPr="00F5368D">
        <w:rPr>
          <w:color w:val="000000"/>
          <w:sz w:val="28"/>
          <w:szCs w:val="28"/>
        </w:rPr>
        <w:t> </w:t>
      </w:r>
      <w:proofErr w:type="spellStart"/>
      <w:r w:rsidRPr="00002CC5">
        <w:rPr>
          <w:color w:val="000000"/>
          <w:sz w:val="28"/>
          <w:szCs w:val="28"/>
          <w:lang w:val="ru-RU"/>
        </w:rPr>
        <w:t>Козочкина</w:t>
      </w:r>
      <w:proofErr w:type="spellEnd"/>
      <w:r w:rsidRPr="00002CC5">
        <w:rPr>
          <w:color w:val="000000"/>
          <w:sz w:val="28"/>
          <w:szCs w:val="28"/>
          <w:lang w:val="ru-RU"/>
        </w:rPr>
        <w:t>. – М.: Омега–Л, 2003. – 576 с.</w:t>
      </w: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/>
        </w:rPr>
      </w:pPr>
      <w:r w:rsidRPr="00002CC5">
        <w:rPr>
          <w:color w:val="000000"/>
          <w:sz w:val="28"/>
          <w:szCs w:val="28"/>
          <w:lang w:val="ru-RU"/>
        </w:rPr>
        <w:t>1.3.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Уголовное право зарубежных стран. Особенная часть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/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Под</w:t>
      </w:r>
      <w:proofErr w:type="gramStart"/>
      <w:r w:rsidRPr="00002CC5">
        <w:rPr>
          <w:color w:val="000000"/>
          <w:sz w:val="28"/>
          <w:szCs w:val="28"/>
          <w:lang w:val="ru-RU"/>
        </w:rPr>
        <w:t>.</w:t>
      </w:r>
      <w:proofErr w:type="gramEnd"/>
      <w:r w:rsidRPr="00002CC5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002CC5">
        <w:rPr>
          <w:color w:val="000000"/>
          <w:sz w:val="28"/>
          <w:szCs w:val="28"/>
          <w:lang w:val="ru-RU"/>
        </w:rPr>
        <w:t>р</w:t>
      </w:r>
      <w:proofErr w:type="gramEnd"/>
      <w:r w:rsidRPr="00002CC5">
        <w:rPr>
          <w:color w:val="000000"/>
          <w:sz w:val="28"/>
          <w:szCs w:val="28"/>
          <w:lang w:val="ru-RU"/>
        </w:rPr>
        <w:t>ед. И.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Д.</w:t>
      </w:r>
      <w:r w:rsidRPr="00F5368D">
        <w:rPr>
          <w:color w:val="000000"/>
          <w:sz w:val="28"/>
          <w:szCs w:val="28"/>
        </w:rPr>
        <w:t> </w:t>
      </w:r>
      <w:proofErr w:type="spellStart"/>
      <w:r w:rsidRPr="00002CC5">
        <w:rPr>
          <w:color w:val="000000"/>
          <w:sz w:val="28"/>
          <w:szCs w:val="28"/>
          <w:lang w:val="ru-RU"/>
        </w:rPr>
        <w:t>Козочкина</w:t>
      </w:r>
      <w:proofErr w:type="spellEnd"/>
      <w:r w:rsidRPr="00002CC5">
        <w:rPr>
          <w:color w:val="000000"/>
          <w:sz w:val="28"/>
          <w:szCs w:val="28"/>
          <w:lang w:val="ru-RU"/>
        </w:rPr>
        <w:t>. – М.: Издательский дом «Камерон», 2004. – 528 с.</w:t>
      </w: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/>
        </w:rPr>
      </w:pPr>
      <w:r w:rsidRPr="00002CC5">
        <w:rPr>
          <w:color w:val="000000"/>
          <w:sz w:val="28"/>
          <w:szCs w:val="28"/>
          <w:lang w:val="ru-RU"/>
        </w:rPr>
        <w:t>1.4.</w:t>
      </w:r>
      <w:r w:rsidRPr="00F5368D">
        <w:rPr>
          <w:color w:val="000000"/>
          <w:sz w:val="28"/>
          <w:szCs w:val="28"/>
        </w:rPr>
        <w:t> </w:t>
      </w:r>
      <w:proofErr w:type="spellStart"/>
      <w:r w:rsidRPr="00002CC5">
        <w:rPr>
          <w:color w:val="000000"/>
          <w:sz w:val="28"/>
          <w:szCs w:val="28"/>
          <w:lang w:val="ru-RU"/>
        </w:rPr>
        <w:t>Кримінальне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право </w:t>
      </w:r>
      <w:proofErr w:type="spellStart"/>
      <w:r w:rsidRPr="00002CC5">
        <w:rPr>
          <w:color w:val="000000"/>
          <w:sz w:val="28"/>
          <w:szCs w:val="28"/>
          <w:lang w:val="ru-RU"/>
        </w:rPr>
        <w:t>України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002CC5">
        <w:rPr>
          <w:color w:val="000000"/>
          <w:sz w:val="28"/>
          <w:szCs w:val="28"/>
          <w:lang w:val="ru-RU"/>
        </w:rPr>
        <w:t>Загальна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/>
        </w:rPr>
        <w:t>частина</w:t>
      </w:r>
      <w:proofErr w:type="spellEnd"/>
      <w:proofErr w:type="gramStart"/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/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З</w:t>
      </w:r>
      <w:proofErr w:type="gramEnd"/>
      <w:r w:rsidRPr="00002CC5">
        <w:rPr>
          <w:color w:val="000000"/>
          <w:sz w:val="28"/>
          <w:szCs w:val="28"/>
          <w:lang w:val="ru-RU"/>
        </w:rPr>
        <w:t xml:space="preserve">а </w:t>
      </w:r>
      <w:proofErr w:type="spellStart"/>
      <w:r w:rsidRPr="00002CC5">
        <w:rPr>
          <w:color w:val="000000"/>
          <w:sz w:val="28"/>
          <w:szCs w:val="28"/>
          <w:lang w:val="ru-RU"/>
        </w:rPr>
        <w:t>редакцією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В.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К.</w:t>
      </w:r>
      <w:r w:rsidRPr="00F5368D">
        <w:rPr>
          <w:color w:val="000000"/>
          <w:sz w:val="28"/>
          <w:szCs w:val="28"/>
        </w:rPr>
        <w:t> </w:t>
      </w:r>
      <w:proofErr w:type="spellStart"/>
      <w:r w:rsidRPr="00002CC5">
        <w:rPr>
          <w:color w:val="000000"/>
          <w:sz w:val="28"/>
          <w:szCs w:val="28"/>
          <w:lang w:val="ru-RU"/>
        </w:rPr>
        <w:t>Матвійчука</w:t>
      </w:r>
      <w:proofErr w:type="spellEnd"/>
      <w:r w:rsidRPr="00002CC5">
        <w:rPr>
          <w:color w:val="000000"/>
          <w:sz w:val="28"/>
          <w:szCs w:val="28"/>
          <w:lang w:val="ru-RU"/>
        </w:rPr>
        <w:t>. – К.: КНТ, 2010. – 431 с.</w:t>
      </w: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/>
        </w:rPr>
      </w:pPr>
      <w:r w:rsidRPr="00002CC5">
        <w:rPr>
          <w:color w:val="000000"/>
          <w:sz w:val="28"/>
          <w:szCs w:val="28"/>
          <w:lang w:val="ru-RU"/>
        </w:rPr>
        <w:t xml:space="preserve">1.5. </w:t>
      </w:r>
      <w:proofErr w:type="spellStart"/>
      <w:r w:rsidRPr="00002CC5">
        <w:rPr>
          <w:color w:val="000000"/>
          <w:sz w:val="28"/>
          <w:szCs w:val="28"/>
          <w:lang w:val="ru-RU"/>
        </w:rPr>
        <w:t>Кримінальне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право </w:t>
      </w:r>
      <w:proofErr w:type="spellStart"/>
      <w:r w:rsidRPr="00002CC5">
        <w:rPr>
          <w:color w:val="000000"/>
          <w:sz w:val="28"/>
          <w:szCs w:val="28"/>
          <w:lang w:val="ru-RU"/>
        </w:rPr>
        <w:t>України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002CC5">
        <w:rPr>
          <w:color w:val="000000"/>
          <w:sz w:val="28"/>
          <w:szCs w:val="28"/>
          <w:lang w:val="ru-RU"/>
        </w:rPr>
        <w:t>Особлива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/>
        </w:rPr>
        <w:t>частина</w:t>
      </w:r>
      <w:proofErr w:type="spellEnd"/>
      <w:proofErr w:type="gramStart"/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/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З</w:t>
      </w:r>
      <w:proofErr w:type="gramEnd"/>
      <w:r w:rsidRPr="00002CC5">
        <w:rPr>
          <w:color w:val="000000"/>
          <w:sz w:val="28"/>
          <w:szCs w:val="28"/>
          <w:lang w:val="ru-RU"/>
        </w:rPr>
        <w:t xml:space="preserve">а </w:t>
      </w:r>
      <w:proofErr w:type="spellStart"/>
      <w:r w:rsidRPr="00002CC5">
        <w:rPr>
          <w:color w:val="000000"/>
          <w:sz w:val="28"/>
          <w:szCs w:val="28"/>
          <w:lang w:val="ru-RU"/>
        </w:rPr>
        <w:t>редакцією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В.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 xml:space="preserve">К. </w:t>
      </w:r>
      <w:proofErr w:type="spellStart"/>
      <w:r w:rsidRPr="00002CC5">
        <w:rPr>
          <w:color w:val="000000"/>
          <w:sz w:val="28"/>
          <w:szCs w:val="28"/>
          <w:lang w:val="ru-RU"/>
        </w:rPr>
        <w:t>Матвійчука</w:t>
      </w:r>
      <w:proofErr w:type="spellEnd"/>
      <w:r w:rsidRPr="00002CC5">
        <w:rPr>
          <w:color w:val="000000"/>
          <w:sz w:val="28"/>
          <w:szCs w:val="28"/>
          <w:lang w:val="ru-RU"/>
        </w:rPr>
        <w:t>. – К.: КНТ, 2010. – 252 с.</w:t>
      </w: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/>
        </w:rPr>
      </w:pPr>
      <w:r w:rsidRPr="00002CC5">
        <w:rPr>
          <w:color w:val="000000"/>
          <w:sz w:val="28"/>
          <w:szCs w:val="28"/>
          <w:lang w:val="ru-RU" w:eastAsia="uk-UA"/>
        </w:rPr>
        <w:t xml:space="preserve">1.6.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Голіна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В. В.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Судимість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Монографія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. –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Харків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.: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Харків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юридичний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>, 2006. – 384 с.</w:t>
      </w:r>
    </w:p>
    <w:p w:rsidR="00002CC5" w:rsidRPr="00002CC5" w:rsidRDefault="00002CC5" w:rsidP="00002CC5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  <w:lang w:val="ru-RU"/>
        </w:rPr>
      </w:pPr>
    </w:p>
    <w:p w:rsidR="00002CC5" w:rsidRPr="00002CC5" w:rsidRDefault="00002CC5" w:rsidP="00002CC5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  <w:lang w:val="ru-RU"/>
        </w:rPr>
      </w:pPr>
      <w:r w:rsidRPr="00002CC5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.</w:t>
      </w:r>
      <w:r w:rsidRPr="00002CC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02CC5">
        <w:rPr>
          <w:b/>
          <w:bCs/>
          <w:sz w:val="28"/>
          <w:szCs w:val="28"/>
          <w:lang w:val="ru-RU"/>
        </w:rPr>
        <w:t>Додаткові</w:t>
      </w:r>
      <w:proofErr w:type="spellEnd"/>
      <w:r w:rsidRPr="00002CC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02CC5">
        <w:rPr>
          <w:b/>
          <w:bCs/>
          <w:sz w:val="28"/>
          <w:szCs w:val="28"/>
          <w:lang w:val="ru-RU"/>
        </w:rPr>
        <w:t>рекомендовані</w:t>
      </w:r>
      <w:proofErr w:type="spellEnd"/>
      <w:r w:rsidRPr="00002CC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02CC5">
        <w:rPr>
          <w:b/>
          <w:bCs/>
          <w:sz w:val="28"/>
          <w:szCs w:val="28"/>
          <w:lang w:val="ru-RU"/>
        </w:rPr>
        <w:t>джерела</w:t>
      </w:r>
      <w:proofErr w:type="spellEnd"/>
      <w:r w:rsidRPr="00002CC5">
        <w:rPr>
          <w:b/>
          <w:bCs/>
          <w:sz w:val="28"/>
          <w:szCs w:val="28"/>
          <w:lang w:val="ru-RU"/>
        </w:rPr>
        <w:t xml:space="preserve">: </w:t>
      </w:r>
    </w:p>
    <w:p w:rsidR="00002CC5" w:rsidRPr="00002CC5" w:rsidRDefault="00002CC5" w:rsidP="00002CC5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  <w:lang w:val="ru-RU"/>
        </w:rPr>
      </w:pP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 w:eastAsia="uk-UA"/>
        </w:rPr>
      </w:pPr>
      <w:r w:rsidRPr="00002CC5">
        <w:rPr>
          <w:color w:val="000000"/>
          <w:sz w:val="28"/>
          <w:szCs w:val="28"/>
          <w:lang w:val="ru-RU" w:eastAsia="uk-UA"/>
        </w:rPr>
        <w:t xml:space="preserve">2.1. Грищук В. К.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Кодифікація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кримінального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законодавства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України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: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проблеми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історії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і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методології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/  Грищук В. К. –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Львів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: </w:t>
      </w:r>
      <w:proofErr w:type="spellStart"/>
      <w:proofErr w:type="gramStart"/>
      <w:r w:rsidRPr="00002CC5">
        <w:rPr>
          <w:color w:val="000000"/>
          <w:sz w:val="28"/>
          <w:szCs w:val="28"/>
          <w:lang w:val="ru-RU" w:eastAsia="uk-UA"/>
        </w:rPr>
        <w:t>Св</w:t>
      </w:r>
      <w:proofErr w:type="gramEnd"/>
      <w:r w:rsidRPr="00002CC5">
        <w:rPr>
          <w:color w:val="000000"/>
          <w:sz w:val="28"/>
          <w:szCs w:val="28"/>
          <w:lang w:val="ru-RU" w:eastAsia="uk-UA"/>
        </w:rPr>
        <w:t>іт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>, 1992. – 165 с.</w:t>
      </w:r>
    </w:p>
    <w:p w:rsidR="00002CC5" w:rsidRPr="00F5368D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" w:eastAsia="uk-UA"/>
        </w:rPr>
      </w:pPr>
      <w:r w:rsidRPr="00002CC5">
        <w:rPr>
          <w:color w:val="000000"/>
          <w:sz w:val="28"/>
          <w:szCs w:val="28"/>
          <w:lang w:val="ru-RU" w:eastAsia="uk-UA"/>
        </w:rPr>
        <w:lastRenderedPageBreak/>
        <w:t>2.2.</w:t>
      </w:r>
      <w:r w:rsidRPr="00F5368D">
        <w:rPr>
          <w:color w:val="000000"/>
          <w:sz w:val="28"/>
          <w:szCs w:val="28"/>
          <w:lang w:eastAsia="uk-UA"/>
        </w:rPr>
        <w:t> 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Коржанський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М. Й.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Нариси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уголовного права /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Коржанський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М. Й. – К.: </w:t>
      </w:r>
      <w:proofErr w:type="gramStart"/>
      <w:r w:rsidRPr="00002CC5">
        <w:rPr>
          <w:color w:val="000000"/>
          <w:sz w:val="28"/>
          <w:szCs w:val="28"/>
          <w:lang w:val="ru-RU" w:eastAsia="uk-UA"/>
        </w:rPr>
        <w:t>ТОВ</w:t>
      </w:r>
      <w:proofErr w:type="gramEnd"/>
      <w:r w:rsidRPr="00002CC5">
        <w:rPr>
          <w:color w:val="000000"/>
          <w:sz w:val="28"/>
          <w:szCs w:val="28"/>
          <w:lang w:val="ru-RU" w:eastAsia="uk-UA"/>
        </w:rPr>
        <w:t xml:space="preserve"> «Генеза». – 1999. – 208 с. </w:t>
      </w:r>
    </w:p>
    <w:p w:rsidR="00002CC5" w:rsidRPr="00002CC5" w:rsidRDefault="00002CC5" w:rsidP="00002CC5">
      <w:pPr>
        <w:tabs>
          <w:tab w:val="left" w:pos="142"/>
        </w:tabs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ru-RU"/>
        </w:rPr>
      </w:pPr>
      <w:r w:rsidRPr="00F5368D">
        <w:rPr>
          <w:rFonts w:eastAsia="Arial Narrow"/>
          <w:bCs/>
          <w:sz w:val="28"/>
          <w:szCs w:val="28"/>
          <w:shd w:val="clear" w:color="auto" w:fill="FFFFFF"/>
          <w:lang w:val="ru"/>
        </w:rPr>
        <w:t xml:space="preserve"> 2.3. </w:t>
      </w:r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Стан та шляхи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гуманізації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кримінального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судочинства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Матеріали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експертного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досл</w:t>
      </w:r>
      <w:proofErr w:type="gram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ідження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/ за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заг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редакцією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О. В.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Беци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. –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Київ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Видавничий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дім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Георпин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», 2005. – 82 с.</w:t>
      </w:r>
    </w:p>
    <w:p w:rsidR="00002CC5" w:rsidRPr="00002CC5" w:rsidRDefault="00002CC5" w:rsidP="00002CC5">
      <w:pPr>
        <w:tabs>
          <w:tab w:val="left" w:pos="142"/>
        </w:tabs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ru-RU"/>
        </w:rPr>
      </w:pPr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2.4. Додонов В. Н. Сравнительное уголовное право. Общая часть. Монография. Под</w:t>
      </w:r>
      <w:proofErr w:type="gram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.</w:t>
      </w:r>
      <w:proofErr w:type="gram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о</w:t>
      </w:r>
      <w:proofErr w:type="gram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бщ. и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научн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. ред.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д.ю.н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., профессора, заслуженного деятеля науки РФ С. П. Щербы. – М.: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Юрлитинформ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, 2009. – 448 с.</w:t>
      </w:r>
    </w:p>
    <w:p w:rsidR="00002CC5" w:rsidRPr="009A20D2" w:rsidRDefault="00002CC5" w:rsidP="00002CC5">
      <w:pPr>
        <w:tabs>
          <w:tab w:val="left" w:pos="142"/>
        </w:tabs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ru-RU"/>
        </w:rPr>
      </w:pPr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2.5. Общая часть Уголовного кодекса Российской Федерации в международных аспектах: сборник / под ред. </w:t>
      </w:r>
      <w:r w:rsidRPr="009A20D2">
        <w:rPr>
          <w:rFonts w:eastAsia="Arial Narrow"/>
          <w:bCs/>
          <w:sz w:val="28"/>
          <w:szCs w:val="28"/>
          <w:shd w:val="clear" w:color="auto" w:fill="FFFFFF"/>
          <w:lang w:val="ru-RU"/>
        </w:rPr>
        <w:t>А. А. Задояна. – М.: Проспект, 2009. – 240 с.</w:t>
      </w:r>
    </w:p>
    <w:p w:rsidR="00002CC5" w:rsidRPr="00262B36" w:rsidRDefault="00002CC5" w:rsidP="00002CC5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4"/>
        <w:gridCol w:w="8088"/>
      </w:tblGrid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.№ варіанта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ind w:left="3442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Завдання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1.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41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Роль адвокатури у функціонуванні правової держави.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41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Консультування клієнта: поняття та завдання. Види консультування.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2.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Зупинення та припинення стажування.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Поняття та зміст адвокатської етики.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3.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Оплата роботи адвоката клієнтом за усне чи письмове консультування.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Зародження і розвиток інституту адвокатури в Україні після 1917 року.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4.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Принципи адвокатської етики.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Звільнення від проходження стажування.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5.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Вибір клієнтом позиції у справі та її обговорення.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Види адвокатської діяльності.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6.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Зупинення та припинення адвокатської діяльності.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Порядок складення кваліфікаційного іспиту.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7.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50"/>
              </w:tabs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Дисциплінарна відповідальність адвокатів.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480"/>
              </w:tabs>
              <w:ind w:left="14" w:hanging="14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Відносини адвоката з судом, представниками органів слідства та</w:t>
            </w:r>
            <w:r>
              <w:rPr>
                <w:rStyle w:val="FontStyle21"/>
                <w:lang w:val="uk-UA" w:eastAsia="uk-UA"/>
              </w:rPr>
              <w:br/>
              <w:t>прокуратури,   іншими   органами   та   особами   при   здійсненні   своєї</w:t>
            </w:r>
            <w:r>
              <w:rPr>
                <w:rStyle w:val="FontStyle21"/>
                <w:lang w:val="uk-UA" w:eastAsia="uk-UA"/>
              </w:rPr>
              <w:br/>
              <w:t>професійної діяльності у відповідності до правил адвокатської етики.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8.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Порядок запрошення і призначення захисника.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Адвокатура в античній Греції.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9.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Вимоги до осіб, які виявили намір займатися адвокатською діяльністю.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Правова позиція захисника.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10.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Помічник адвоката.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Допуск до складення кваліфікаційного іспиту.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11.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Збір інформаційних даних у справі та його види.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Організаційні форми та засади діяльності адвокатури України.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12.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Професійні права та обов'язки адвоката.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Етичні правила взаємин «адвокат-клієнт» і «адвокат-колега».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13.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Етика поведінки адвоката.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Оплата праці та оподаткування адвокатів.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14.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Гарантії адвокатської діяльності.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Звіт про стажування та оцінка результатів стажування.</w:t>
            </w:r>
          </w:p>
        </w:tc>
      </w:tr>
      <w:tr w:rsidR="001B4BAB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8"/>
              <w:widowControl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Варіант 15.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Default="001B4BAB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1.</w:t>
            </w:r>
            <w:r>
              <w:rPr>
                <w:rStyle w:val="FontStyle21"/>
                <w:lang w:val="uk-UA" w:eastAsia="uk-UA"/>
              </w:rPr>
              <w:tab/>
              <w:t>Мораль і моральність, їх співвідношення з адвокатською етикою.</w:t>
            </w:r>
          </w:p>
          <w:p w:rsidR="001B4BAB" w:rsidRDefault="001B4BAB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lang w:val="uk-UA" w:eastAsia="uk-UA"/>
              </w:rPr>
            </w:pPr>
            <w:r>
              <w:rPr>
                <w:rStyle w:val="FontStyle21"/>
                <w:lang w:val="uk-UA" w:eastAsia="uk-UA"/>
              </w:rPr>
              <w:t>2.</w:t>
            </w:r>
            <w:r>
              <w:rPr>
                <w:rStyle w:val="FontStyle21"/>
                <w:lang w:val="uk-UA" w:eastAsia="uk-UA"/>
              </w:rPr>
              <w:tab/>
              <w:t>Становлення та розвиток адвокатури у давньому Римі.</w:t>
            </w:r>
          </w:p>
        </w:tc>
      </w:tr>
    </w:tbl>
    <w:p w:rsidR="00543C9E" w:rsidRPr="009A20D2" w:rsidRDefault="00DE1033" w:rsidP="001B4BAB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lang w:val="uk-UA"/>
        </w:rPr>
      </w:pPr>
    </w:p>
    <w:sectPr w:rsidR="00543C9E" w:rsidRPr="009A20D2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3"/>
    <w:rsid w:val="00002CC5"/>
    <w:rsid w:val="000C227F"/>
    <w:rsid w:val="001B4BAB"/>
    <w:rsid w:val="00345CBE"/>
    <w:rsid w:val="00610239"/>
    <w:rsid w:val="00690C5B"/>
    <w:rsid w:val="00812652"/>
    <w:rsid w:val="008F2D22"/>
    <w:rsid w:val="00992841"/>
    <w:rsid w:val="009A20D2"/>
    <w:rsid w:val="00A95018"/>
    <w:rsid w:val="00B44623"/>
    <w:rsid w:val="00BF2CD1"/>
    <w:rsid w:val="00C656B7"/>
    <w:rsid w:val="00CE3A17"/>
    <w:rsid w:val="00DE1033"/>
    <w:rsid w:val="00E329C8"/>
    <w:rsid w:val="00E82D7B"/>
    <w:rsid w:val="00F801E3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1B4BAB"/>
    <w:rPr>
      <w:rFonts w:ascii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1B4BAB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2016-09-27T08:02:00Z</dcterms:created>
  <dcterms:modified xsi:type="dcterms:W3CDTF">2016-09-27T08:02:00Z</dcterms:modified>
</cp:coreProperties>
</file>