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3E" w:rsidRDefault="00AF073E" w:rsidP="00AF073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AF073E" w:rsidRDefault="00AF073E" w:rsidP="00AF073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AF073E" w:rsidRDefault="00AF073E" w:rsidP="00AF073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AF073E" w:rsidRDefault="00AF073E" w:rsidP="00AF073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Методичні рекомендації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br/>
        <w:t xml:space="preserve">з самостійної роботи студентів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br/>
        <w:t>з опанування навчального матеріалу</w:t>
      </w:r>
    </w:p>
    <w:p w:rsidR="00AF073E" w:rsidRDefault="00AF073E" w:rsidP="00AF073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«Постстресова реабілітація»</w:t>
      </w:r>
    </w:p>
    <w:p w:rsidR="00AF073E" w:rsidRDefault="00AF073E" w:rsidP="00AF073E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firstLine="2835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Укладач: </w:t>
      </w:r>
    </w:p>
    <w:p w:rsidR="00AF073E" w:rsidRDefault="00AF073E" w:rsidP="00AF073E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 авіаційної    </w:t>
      </w:r>
    </w:p>
    <w:p w:rsidR="00AF073E" w:rsidRDefault="00AF073E" w:rsidP="00AF073E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психології С.Є. Луппо_______________</w:t>
      </w:r>
    </w:p>
    <w:p w:rsidR="00AF073E" w:rsidRDefault="00AF073E" w:rsidP="00AF073E">
      <w:pPr>
        <w:ind w:left="3119"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AF073E" w:rsidRDefault="00AF073E" w:rsidP="00AF073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Протокол № ____ від «___»________ 2016 р.</w:t>
      </w:r>
    </w:p>
    <w:p w:rsidR="00AF073E" w:rsidRDefault="00AF073E" w:rsidP="00AF073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AF073E" w:rsidRDefault="00AF073E" w:rsidP="00AF073E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Завідувач кафедри               Л.В.Помиткіна </w:t>
      </w:r>
    </w:p>
    <w:p w:rsidR="00AF073E" w:rsidRDefault="00AF073E" w:rsidP="00AF073E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AF073E" w:rsidRDefault="00AF073E" w:rsidP="00AF073E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lastRenderedPageBreak/>
        <w:t xml:space="preserve">Зразок методичних рекомендацій до </w:t>
      </w:r>
      <w:r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AF073E" w:rsidRDefault="00AF073E" w:rsidP="00AF073E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Тема: «Ресурсні» стратегії постстресової реабілітації і управління стресом</w:t>
      </w:r>
    </w:p>
    <w:p w:rsidR="00AF073E" w:rsidRDefault="00AF073E" w:rsidP="00AF073E">
      <w:pPr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bCs/>
          <w:lang w:val="ru-RU"/>
        </w:rPr>
        <w:t>План</w:t>
      </w:r>
    </w:p>
    <w:p w:rsidR="00AF073E" w:rsidRDefault="00AF073E" w:rsidP="00AF073E">
      <w:pPr>
        <w:pStyle w:val="a5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Психічні (емоційні, вольові, мотиваційні, когнітивні) та психофізіологічні ресурси людини, їх роль в подоланні негативних наслідків стресу. </w:t>
      </w:r>
    </w:p>
    <w:p w:rsidR="00AF073E" w:rsidRDefault="00AF073E" w:rsidP="00AF073E">
      <w:pPr>
        <w:pStyle w:val="a5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Особистісні ресурси (особливості «Я»-концепції людини, її соціально-психологічні якості, специфіка ціннісно-смислової та мотиваційної сфер).</w:t>
      </w:r>
    </w:p>
    <w:p w:rsidR="00AF073E" w:rsidRDefault="00AF073E" w:rsidP="00AF073E">
      <w:pPr>
        <w:pStyle w:val="a5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Поведінкові та соціальні ресурси особистості. </w:t>
      </w:r>
    </w:p>
    <w:p w:rsidR="00AF073E" w:rsidRDefault="00AF073E" w:rsidP="00AF073E">
      <w:pPr>
        <w:spacing w:line="232" w:lineRule="auto"/>
        <w:ind w:firstLine="708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Список рекомендованих джерел:</w:t>
      </w:r>
    </w:p>
    <w:p w:rsidR="00AF073E" w:rsidRDefault="00AF073E" w:rsidP="00AF073E">
      <w:pPr>
        <w:numPr>
          <w:ilvl w:val="0"/>
          <w:numId w:val="2"/>
        </w:numPr>
        <w:spacing w:line="232" w:lineRule="auto"/>
        <w:ind w:left="0" w:firstLine="36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Александрова Л.А. Личностные ресурсы преодоления затруднённых условий развития / Л.А. Александрова, А.А.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Лебедева, Д.А. Леонтьев, Е.И.Рассказова // Личностный потенциал: структура и диагностика [под ред. </w:t>
      </w:r>
      <w:r>
        <w:rPr>
          <w:rFonts w:ascii="Times New Roman" w:hAnsi="Times New Roman"/>
        </w:rPr>
        <w:t xml:space="preserve">Д.А. Леонтьева]. – </w:t>
      </w:r>
      <w:proofErr w:type="gramStart"/>
      <w:r>
        <w:rPr>
          <w:rFonts w:ascii="Times New Roman" w:hAnsi="Times New Roman"/>
        </w:rPr>
        <w:t>М.:</w:t>
      </w:r>
      <w:proofErr w:type="gramEnd"/>
      <w:r>
        <w:rPr>
          <w:rFonts w:ascii="Times New Roman" w:hAnsi="Times New Roman"/>
        </w:rPr>
        <w:t xml:space="preserve"> Смысл, 2011. – 680 с. – С.  579-610.</w:t>
      </w:r>
    </w:p>
    <w:p w:rsidR="00AF073E" w:rsidRDefault="00AF073E" w:rsidP="00AF073E">
      <w:pPr>
        <w:pStyle w:val="a5"/>
        <w:numPr>
          <w:ilvl w:val="0"/>
          <w:numId w:val="2"/>
        </w:numPr>
        <w:ind w:left="0" w:right="-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Водопьянова  И. Синдром выгорания. – М., 2005</w:t>
      </w:r>
    </w:p>
    <w:p w:rsidR="00AF073E" w:rsidRDefault="00AF073E" w:rsidP="00AF073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Гримак Л.П. Резервы человеческой психики. Введение в психологию активности. – М.: Пол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л</w:t>
      </w:r>
      <w:proofErr w:type="gramEnd"/>
      <w:r>
        <w:rPr>
          <w:rFonts w:ascii="Times New Roman" w:hAnsi="Times New Roman"/>
          <w:lang w:val="ru-RU"/>
        </w:rPr>
        <w:t xml:space="preserve">ит-ра, 1987. – 286  с. </w:t>
      </w:r>
    </w:p>
    <w:p w:rsidR="00AF073E" w:rsidRDefault="00AF073E" w:rsidP="00AF073E">
      <w:pPr>
        <w:pStyle w:val="a5"/>
        <w:numPr>
          <w:ilvl w:val="0"/>
          <w:numId w:val="2"/>
        </w:numPr>
        <w:ind w:left="0"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Гусев А. Толерантность к неопределённости как составляющая личностного потенциала / Андрей Гусев //Личностный потенциал: структура и диагностика [Под ред. Д. Леонтьева].– М.: Смысл, 2011. – С. 300-329.</w:t>
      </w:r>
    </w:p>
    <w:p w:rsidR="00AF073E" w:rsidRDefault="00AF073E" w:rsidP="00AF073E">
      <w:pPr>
        <w:pStyle w:val="a5"/>
        <w:numPr>
          <w:ilvl w:val="0"/>
          <w:numId w:val="2"/>
        </w:numPr>
        <w:ind w:left="0" w:right="-2"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ru-RU"/>
        </w:rPr>
        <w:t>Китаев – Смык Л.А. Вероятностное прогнозирование и индивидуальные особенности реагирования человека в экстремальных условиях. – В кн.: Вероятностное прогнозирование в деятельности человека. – М.: Наука, 1983, 368 с.</w:t>
      </w:r>
    </w:p>
    <w:p w:rsidR="00AF073E" w:rsidRDefault="00AF073E" w:rsidP="00AF073E">
      <w:pPr>
        <w:pStyle w:val="a3"/>
        <w:ind w:firstLine="540"/>
        <w:rPr>
          <w:bCs/>
          <w:lang w:val="ru-RU"/>
        </w:rPr>
      </w:pPr>
      <w:proofErr w:type="gramStart"/>
      <w:r>
        <w:rPr>
          <w:bCs/>
          <w:lang w:val="ru-RU"/>
        </w:rPr>
        <w:t>Самостійна  робота студентів за темами дисципліни «Постстресова реабілітація» виконується відповідно до затверджених в установленому порядку методичних рекомендацій, з метою поглиблення теоретичних знань за кожною з вивчаємих тем дисципліни.</w:t>
      </w:r>
      <w:proofErr w:type="gramEnd"/>
      <w:r>
        <w:rPr>
          <w:bCs/>
          <w:lang w:val="ru-RU"/>
        </w:rPr>
        <w:t xml:space="preserve"> </w:t>
      </w:r>
      <w:r>
        <w:rPr>
          <w:color w:val="000000"/>
          <w:lang w:val="ru-RU"/>
        </w:rPr>
        <w:t xml:space="preserve">Якісна самостійна </w:t>
      </w:r>
      <w:proofErr w:type="gramStart"/>
      <w:r>
        <w:rPr>
          <w:color w:val="000000"/>
          <w:lang w:val="ru-RU"/>
        </w:rPr>
        <w:t>п</w:t>
      </w:r>
      <w:proofErr w:type="gramEnd"/>
      <w:r>
        <w:rPr>
          <w:color w:val="000000"/>
          <w:lang w:val="ru-RU"/>
        </w:rPr>
        <w:t xml:space="preserve">ідготовка вимагає від студента певних вмінь та навичок. </w:t>
      </w:r>
      <w:r>
        <w:rPr>
          <w:lang w:val="ru-RU"/>
        </w:rPr>
        <w:t xml:space="preserve">Основним завданням самостійної роботи є розвинення здатності студента до систематизації учбового та наукового матеріалу; розвинення аналітичних здібностей, здатності логічно викладати власну думку щодо вивчаємих питань, робити висновки й узагальнення. Також самостійна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ідготовка спрямована на розвинення здатності студентів ефективно застосовувати отримані ними теоретичні знання щодо ресурсних концепцій стресу при розв’язанні ними різноманітних завдань реабілітаційної практики. </w:t>
      </w:r>
      <w:r>
        <w:rPr>
          <w:bCs/>
          <w:lang w:val="ru-RU"/>
        </w:rPr>
        <w:t xml:space="preserve">Час, потрібний для самостійної роботи за </w:t>
      </w:r>
      <w:proofErr w:type="gramStart"/>
      <w:r>
        <w:rPr>
          <w:bCs/>
          <w:lang w:val="ru-RU"/>
        </w:rPr>
        <w:t>кожною</w:t>
      </w:r>
      <w:proofErr w:type="gramEnd"/>
      <w:r>
        <w:rPr>
          <w:bCs/>
          <w:lang w:val="ru-RU"/>
        </w:rPr>
        <w:t xml:space="preserve"> з тем, та специфіка опрацювання теоретичного матеріалу визначається відповідно до РНП з даної дисципліни. </w:t>
      </w:r>
      <w:r>
        <w:rPr>
          <w:lang w:val="ru-RU"/>
        </w:rPr>
        <w:t xml:space="preserve">За цей час він має зорієнтуватися в існуючих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ідходах до організації реабілітаційної роботи з людиною, що пережила стрес, а також профілактичної роботи, метою якої є підвищення стресової витривалості особистості за рахунок актуалізації її біологічних та психосоціальних ресурсів. Отже, під час самостійної підготовки за даною темою студент має поглибити та структурувати свої знання </w:t>
      </w:r>
      <w:proofErr w:type="gramStart"/>
      <w:r>
        <w:rPr>
          <w:lang w:val="ru-RU"/>
        </w:rPr>
        <w:t>про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псих</w:t>
      </w:r>
      <w:proofErr w:type="gramEnd"/>
      <w:r>
        <w:rPr>
          <w:lang w:val="ru-RU"/>
        </w:rPr>
        <w:t>ічні (емоційні, вольові, мотиваційні, когнітивні) та психофізіологічні ресурси людини та їх роль в подоланні негативних наслідків стресу; особистісні ресурси (особливості «Я</w:t>
      </w:r>
      <w:proofErr w:type="gramStart"/>
      <w:r>
        <w:rPr>
          <w:lang w:val="ru-RU"/>
        </w:rPr>
        <w:t>»-</w:t>
      </w:r>
      <w:proofErr w:type="gramEnd"/>
      <w:r>
        <w:rPr>
          <w:lang w:val="ru-RU"/>
        </w:rPr>
        <w:t>концепції людини, її соціально-психологічні якості, специфіка ціннісно-смислової та мотиваційної сфер), а також поведінкові та соціальні ресурси людини.</w:t>
      </w:r>
    </w:p>
    <w:p w:rsidR="00AF073E" w:rsidRDefault="00AF073E" w:rsidP="00AF073E">
      <w:pPr>
        <w:pStyle w:val="a6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Термінологічний словник</w:t>
      </w:r>
    </w:p>
    <w:p w:rsidR="00AF073E" w:rsidRDefault="00AF073E" w:rsidP="00AF073E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Ресурси, ресурсні концепції стресу, ресурсний потенциал особистості</w:t>
      </w:r>
    </w:p>
    <w:p w:rsidR="0062197F" w:rsidRPr="00AF073E" w:rsidRDefault="0062197F">
      <w:pPr>
        <w:rPr>
          <w:lang w:val="uk-UA"/>
        </w:rPr>
      </w:pPr>
      <w:bookmarkStart w:id="0" w:name="_GoBack"/>
      <w:bookmarkEnd w:id="0"/>
    </w:p>
    <w:sectPr w:rsidR="0062197F" w:rsidRPr="00AF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4747"/>
    <w:multiLevelType w:val="hybridMultilevel"/>
    <w:tmpl w:val="FBCA0216"/>
    <w:lvl w:ilvl="0" w:tplc="7FC63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A42DD"/>
    <w:multiLevelType w:val="hybridMultilevel"/>
    <w:tmpl w:val="5D3C1A5E"/>
    <w:lvl w:ilvl="0" w:tplc="BFBAD894">
      <w:start w:val="1"/>
      <w:numFmt w:val="decimal"/>
      <w:lvlText w:val="%1."/>
      <w:lvlJc w:val="left"/>
      <w:pPr>
        <w:ind w:left="1290" w:hanging="585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E"/>
    <w:rsid w:val="0062197F"/>
    <w:rsid w:val="00A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3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073E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AF073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lock Text"/>
    <w:basedOn w:val="a"/>
    <w:semiHidden/>
    <w:unhideWhenUsed/>
    <w:rsid w:val="00AF073E"/>
    <w:pPr>
      <w:ind w:left="-57" w:right="-57"/>
      <w:jc w:val="center"/>
    </w:pPr>
    <w:rPr>
      <w:rFonts w:ascii="Arial" w:hAnsi="Arial" w:cs="Arial"/>
      <w:lang w:val="uk-UA" w:eastAsia="ru-RU" w:bidi="ar-SA"/>
    </w:rPr>
  </w:style>
  <w:style w:type="paragraph" w:customStyle="1" w:styleId="a6">
    <w:name w:val="Стиль По ширине"/>
    <w:basedOn w:val="a"/>
    <w:rsid w:val="00AF073E"/>
    <w:pPr>
      <w:spacing w:after="200" w:line="276" w:lineRule="auto"/>
      <w:jc w:val="both"/>
    </w:pPr>
    <w:rPr>
      <w:rFonts w:ascii="Times New Roman" w:hAnsi="Times New Roman"/>
      <w:sz w:val="28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3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073E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AF073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lock Text"/>
    <w:basedOn w:val="a"/>
    <w:semiHidden/>
    <w:unhideWhenUsed/>
    <w:rsid w:val="00AF073E"/>
    <w:pPr>
      <w:ind w:left="-57" w:right="-57"/>
      <w:jc w:val="center"/>
    </w:pPr>
    <w:rPr>
      <w:rFonts w:ascii="Arial" w:hAnsi="Arial" w:cs="Arial"/>
      <w:lang w:val="uk-UA" w:eastAsia="ru-RU" w:bidi="ar-SA"/>
    </w:rPr>
  </w:style>
  <w:style w:type="paragraph" w:customStyle="1" w:styleId="a6">
    <w:name w:val="Стиль По ширине"/>
    <w:basedOn w:val="a"/>
    <w:rsid w:val="00AF073E"/>
    <w:pPr>
      <w:spacing w:after="200" w:line="276" w:lineRule="auto"/>
      <w:jc w:val="both"/>
    </w:pPr>
    <w:rPr>
      <w:rFonts w:ascii="Times New Roman" w:hAnsi="Times New Roman"/>
      <w:sz w:val="28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2017-03-02T07:09:00Z</dcterms:created>
  <dcterms:modified xsi:type="dcterms:W3CDTF">2017-03-02T07:09:00Z</dcterms:modified>
</cp:coreProperties>
</file>