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FD" w:rsidRPr="001E06B3" w:rsidRDefault="008E09F6" w:rsidP="00063E78">
      <w:pPr>
        <w:spacing w:line="240" w:lineRule="auto"/>
        <w:ind w:firstLine="567"/>
        <w:rPr>
          <w:bCs/>
          <w:iCs/>
          <w:sz w:val="20"/>
          <w:szCs w:val="20"/>
        </w:rPr>
      </w:pPr>
      <w:bookmarkStart w:id="0" w:name="_GoBack"/>
      <w:bookmarkEnd w:id="0"/>
      <w:r w:rsidRPr="001E06B3">
        <w:rPr>
          <w:bCs/>
          <w:iCs/>
          <w:sz w:val="20"/>
          <w:szCs w:val="20"/>
        </w:rPr>
        <w:t>УДК  339.</w:t>
      </w:r>
      <w:r w:rsidR="0066419C" w:rsidRPr="001E06B3">
        <w:rPr>
          <w:bCs/>
          <w:iCs/>
          <w:sz w:val="20"/>
          <w:szCs w:val="20"/>
          <w:lang w:val="uk-UA"/>
        </w:rPr>
        <w:t>727.24</w:t>
      </w:r>
      <w:r w:rsidR="00C252FD" w:rsidRPr="001E06B3">
        <w:rPr>
          <w:bCs/>
          <w:iCs/>
          <w:sz w:val="20"/>
          <w:szCs w:val="20"/>
        </w:rPr>
        <w:t xml:space="preserve"> </w:t>
      </w:r>
    </w:p>
    <w:p w:rsidR="00C252FD" w:rsidRPr="001E06B3" w:rsidRDefault="00C252FD" w:rsidP="00063E78">
      <w:pPr>
        <w:spacing w:line="240" w:lineRule="auto"/>
        <w:ind w:firstLine="567"/>
        <w:jc w:val="right"/>
        <w:rPr>
          <w:sz w:val="20"/>
          <w:szCs w:val="20"/>
          <w:lang w:val="uk-UA"/>
        </w:rPr>
      </w:pPr>
      <w:r w:rsidRPr="001E06B3">
        <w:rPr>
          <w:sz w:val="20"/>
          <w:szCs w:val="20"/>
        </w:rPr>
        <w:t xml:space="preserve">Л.М. </w:t>
      </w:r>
      <w:proofErr w:type="spellStart"/>
      <w:r w:rsidRPr="001E06B3">
        <w:rPr>
          <w:sz w:val="20"/>
          <w:szCs w:val="20"/>
        </w:rPr>
        <w:t>Побоченко</w:t>
      </w:r>
      <w:proofErr w:type="spellEnd"/>
    </w:p>
    <w:p w:rsidR="00C252FD" w:rsidRPr="001E06B3" w:rsidRDefault="00C252FD" w:rsidP="00063E78">
      <w:pPr>
        <w:spacing w:line="240" w:lineRule="auto"/>
        <w:ind w:firstLine="567"/>
        <w:jc w:val="right"/>
        <w:rPr>
          <w:sz w:val="20"/>
          <w:szCs w:val="20"/>
          <w:lang w:val="uk-UA"/>
        </w:rPr>
      </w:pPr>
      <w:r w:rsidRPr="001E06B3">
        <w:rPr>
          <w:sz w:val="20"/>
          <w:szCs w:val="20"/>
          <w:lang w:val="uk-UA"/>
        </w:rPr>
        <w:t xml:space="preserve">Л.Н. </w:t>
      </w:r>
      <w:proofErr w:type="spellStart"/>
      <w:r w:rsidRPr="001E06B3">
        <w:rPr>
          <w:sz w:val="20"/>
          <w:szCs w:val="20"/>
          <w:lang w:val="uk-UA"/>
        </w:rPr>
        <w:t>Побоченко</w:t>
      </w:r>
      <w:proofErr w:type="spellEnd"/>
    </w:p>
    <w:p w:rsidR="00C252FD" w:rsidRPr="001E06B3" w:rsidRDefault="00C252FD" w:rsidP="00063E78">
      <w:pPr>
        <w:spacing w:line="240" w:lineRule="auto"/>
        <w:ind w:firstLine="567"/>
        <w:jc w:val="right"/>
        <w:rPr>
          <w:sz w:val="20"/>
          <w:szCs w:val="20"/>
          <w:lang w:val="uk-UA"/>
        </w:rPr>
      </w:pPr>
      <w:proofErr w:type="spellStart"/>
      <w:r w:rsidRPr="001E06B3">
        <w:rPr>
          <w:sz w:val="20"/>
          <w:szCs w:val="20"/>
          <w:lang w:val="uk-UA"/>
        </w:rPr>
        <w:t>L.M.Pobochenko</w:t>
      </w:r>
      <w:proofErr w:type="spellEnd"/>
    </w:p>
    <w:p w:rsidR="00B93F84" w:rsidRPr="001E06B3" w:rsidRDefault="00C252FD" w:rsidP="00063E78">
      <w:pPr>
        <w:autoSpaceDE w:val="0"/>
        <w:autoSpaceDN w:val="0"/>
        <w:adjustRightInd w:val="0"/>
        <w:spacing w:line="240" w:lineRule="auto"/>
        <w:jc w:val="right"/>
        <w:rPr>
          <w:rFonts w:eastAsia="TimesNewRoman"/>
          <w:sz w:val="20"/>
          <w:szCs w:val="20"/>
          <w:lang w:val="uk-UA"/>
        </w:rPr>
      </w:pPr>
      <w:proofErr w:type="spellStart"/>
      <w:r w:rsidRPr="001E06B3">
        <w:rPr>
          <w:rFonts w:eastAsia="TimesNewRoman"/>
          <w:sz w:val="20"/>
          <w:szCs w:val="20"/>
          <w:lang w:val="uk-UA"/>
        </w:rPr>
        <w:t>к.е.н</w:t>
      </w:r>
      <w:proofErr w:type="spellEnd"/>
      <w:r w:rsidRPr="001E06B3">
        <w:rPr>
          <w:rFonts w:eastAsia="TimesNewRoman"/>
          <w:sz w:val="20"/>
          <w:szCs w:val="20"/>
          <w:lang w:val="uk-UA"/>
        </w:rPr>
        <w:t xml:space="preserve">., доцент, доцент кафедри міжнародних </w:t>
      </w:r>
    </w:p>
    <w:p w:rsidR="00C252FD" w:rsidRPr="001E06B3" w:rsidRDefault="00C252FD" w:rsidP="00063E78">
      <w:pPr>
        <w:autoSpaceDE w:val="0"/>
        <w:autoSpaceDN w:val="0"/>
        <w:adjustRightInd w:val="0"/>
        <w:spacing w:line="240" w:lineRule="auto"/>
        <w:jc w:val="right"/>
        <w:rPr>
          <w:rFonts w:eastAsia="TimesNewRoman"/>
          <w:sz w:val="20"/>
          <w:szCs w:val="20"/>
          <w:lang w:val="uk-UA"/>
        </w:rPr>
      </w:pPr>
      <w:r w:rsidRPr="001E06B3">
        <w:rPr>
          <w:rFonts w:eastAsia="TimesNewRoman"/>
          <w:sz w:val="20"/>
          <w:szCs w:val="20"/>
          <w:lang w:val="uk-UA"/>
        </w:rPr>
        <w:t>економічних</w:t>
      </w:r>
      <w:r w:rsidR="00B93F84" w:rsidRPr="001E06B3">
        <w:rPr>
          <w:rFonts w:eastAsia="TimesNewRoman"/>
          <w:sz w:val="20"/>
          <w:szCs w:val="20"/>
          <w:lang w:val="uk-UA"/>
        </w:rPr>
        <w:t xml:space="preserve"> </w:t>
      </w:r>
      <w:r w:rsidRPr="001E06B3">
        <w:rPr>
          <w:rFonts w:eastAsia="TimesNewRoman"/>
          <w:sz w:val="20"/>
          <w:szCs w:val="20"/>
          <w:lang w:val="uk-UA"/>
        </w:rPr>
        <w:t>відносин і бізнесу</w:t>
      </w:r>
    </w:p>
    <w:p w:rsidR="00B93F84" w:rsidRPr="001E06B3" w:rsidRDefault="00B93F84" w:rsidP="00063E78">
      <w:pPr>
        <w:autoSpaceDE w:val="0"/>
        <w:autoSpaceDN w:val="0"/>
        <w:adjustRightInd w:val="0"/>
        <w:spacing w:line="240" w:lineRule="auto"/>
        <w:jc w:val="right"/>
        <w:rPr>
          <w:rFonts w:eastAsia="TimesNewRoman"/>
          <w:sz w:val="20"/>
          <w:szCs w:val="20"/>
          <w:lang w:val="uk-UA"/>
        </w:rPr>
      </w:pPr>
      <w:r w:rsidRPr="001E06B3">
        <w:rPr>
          <w:rFonts w:eastAsia="TimesNewRoman"/>
          <w:sz w:val="20"/>
          <w:szCs w:val="20"/>
          <w:lang w:val="uk-UA"/>
        </w:rPr>
        <w:t>О.С.Пасічник</w:t>
      </w:r>
    </w:p>
    <w:p w:rsidR="00B93F84" w:rsidRPr="001E06B3" w:rsidRDefault="00BA3968" w:rsidP="00063E78">
      <w:pPr>
        <w:autoSpaceDE w:val="0"/>
        <w:autoSpaceDN w:val="0"/>
        <w:adjustRightInd w:val="0"/>
        <w:spacing w:line="240" w:lineRule="auto"/>
        <w:jc w:val="right"/>
        <w:rPr>
          <w:rFonts w:eastAsia="TimesNewRoman"/>
          <w:sz w:val="20"/>
          <w:szCs w:val="20"/>
          <w:lang w:val="uk-UA"/>
        </w:rPr>
      </w:pPr>
      <w:proofErr w:type="spellStart"/>
      <w:r w:rsidRPr="001E06B3">
        <w:rPr>
          <w:rFonts w:eastAsia="TimesNewRoman"/>
          <w:sz w:val="20"/>
          <w:szCs w:val="20"/>
          <w:lang w:val="uk-UA"/>
        </w:rPr>
        <w:t>Е.С.Пасични</w:t>
      </w:r>
      <w:r w:rsidR="00B93F84" w:rsidRPr="001E06B3">
        <w:rPr>
          <w:rFonts w:eastAsia="TimesNewRoman"/>
          <w:sz w:val="20"/>
          <w:szCs w:val="20"/>
          <w:lang w:val="uk-UA"/>
        </w:rPr>
        <w:t>к</w:t>
      </w:r>
      <w:proofErr w:type="spellEnd"/>
    </w:p>
    <w:p w:rsidR="000641E1" w:rsidRPr="001E06B3" w:rsidRDefault="00BA3968" w:rsidP="00063E78">
      <w:pPr>
        <w:autoSpaceDE w:val="0"/>
        <w:autoSpaceDN w:val="0"/>
        <w:adjustRightInd w:val="0"/>
        <w:spacing w:line="240" w:lineRule="auto"/>
        <w:jc w:val="right"/>
        <w:rPr>
          <w:rFonts w:eastAsia="TimesNewRoman"/>
          <w:sz w:val="20"/>
          <w:szCs w:val="20"/>
          <w:lang w:val="uk-UA"/>
        </w:rPr>
      </w:pPr>
      <w:r w:rsidRPr="001E06B3">
        <w:rPr>
          <w:rFonts w:eastAsia="TimesNewRoman"/>
          <w:sz w:val="20"/>
          <w:szCs w:val="20"/>
          <w:lang w:val="en-US"/>
        </w:rPr>
        <w:t>O</w:t>
      </w:r>
      <w:r w:rsidRPr="001E06B3">
        <w:rPr>
          <w:rFonts w:eastAsia="TimesNewRoman"/>
          <w:sz w:val="20"/>
          <w:szCs w:val="20"/>
          <w:lang w:val="uk-UA"/>
        </w:rPr>
        <w:t>.</w:t>
      </w:r>
      <w:r w:rsidRPr="001E06B3">
        <w:rPr>
          <w:rFonts w:eastAsia="TimesNewRoman"/>
          <w:sz w:val="20"/>
          <w:szCs w:val="20"/>
          <w:lang w:val="en-US"/>
        </w:rPr>
        <w:t>S</w:t>
      </w:r>
      <w:r w:rsidRPr="001E06B3">
        <w:rPr>
          <w:rFonts w:eastAsia="TimesNewRoman"/>
          <w:sz w:val="20"/>
          <w:szCs w:val="20"/>
          <w:lang w:val="uk-UA"/>
        </w:rPr>
        <w:t>.</w:t>
      </w:r>
      <w:proofErr w:type="spellStart"/>
      <w:r w:rsidR="000641E1" w:rsidRPr="001E06B3">
        <w:rPr>
          <w:rFonts w:eastAsia="TimesNewRoman"/>
          <w:sz w:val="20"/>
          <w:szCs w:val="20"/>
          <w:lang w:val="en-US"/>
        </w:rPr>
        <w:t>Pasichnyk</w:t>
      </w:r>
      <w:proofErr w:type="spellEnd"/>
    </w:p>
    <w:p w:rsidR="000641E1" w:rsidRPr="001E06B3" w:rsidRDefault="000641E1" w:rsidP="000641E1">
      <w:pPr>
        <w:autoSpaceDE w:val="0"/>
        <w:autoSpaceDN w:val="0"/>
        <w:adjustRightInd w:val="0"/>
        <w:spacing w:line="240" w:lineRule="auto"/>
        <w:jc w:val="right"/>
        <w:rPr>
          <w:rFonts w:eastAsia="TimesNewRoman"/>
          <w:sz w:val="20"/>
          <w:szCs w:val="20"/>
          <w:lang w:val="uk-UA"/>
        </w:rPr>
      </w:pPr>
      <w:proofErr w:type="spellStart"/>
      <w:r w:rsidRPr="001E06B3">
        <w:rPr>
          <w:rFonts w:eastAsia="TimesNewRoman"/>
          <w:sz w:val="20"/>
          <w:szCs w:val="20"/>
          <w:lang w:val="uk-UA"/>
        </w:rPr>
        <w:t>ст.викладач</w:t>
      </w:r>
      <w:proofErr w:type="spellEnd"/>
      <w:r w:rsidRPr="001E06B3">
        <w:rPr>
          <w:rFonts w:eastAsia="TimesNewRoman"/>
          <w:sz w:val="20"/>
          <w:szCs w:val="20"/>
          <w:lang w:val="uk-UA"/>
        </w:rPr>
        <w:t xml:space="preserve"> </w:t>
      </w:r>
      <w:proofErr w:type="spellStart"/>
      <w:r w:rsidRPr="001E06B3">
        <w:rPr>
          <w:rFonts w:eastAsia="TimesNewRoman"/>
          <w:sz w:val="20"/>
          <w:szCs w:val="20"/>
        </w:rPr>
        <w:t>кафедри</w:t>
      </w:r>
      <w:proofErr w:type="spellEnd"/>
      <w:r w:rsidRPr="001E06B3">
        <w:rPr>
          <w:rFonts w:eastAsia="TimesNewRoman"/>
          <w:sz w:val="20"/>
          <w:szCs w:val="20"/>
        </w:rPr>
        <w:t xml:space="preserve"> </w:t>
      </w:r>
      <w:proofErr w:type="spellStart"/>
      <w:r w:rsidRPr="001E06B3">
        <w:rPr>
          <w:rFonts w:eastAsia="TimesNewRoman"/>
          <w:sz w:val="20"/>
          <w:szCs w:val="20"/>
        </w:rPr>
        <w:t>міжнародних</w:t>
      </w:r>
      <w:proofErr w:type="spellEnd"/>
      <w:r w:rsidRPr="001E06B3">
        <w:rPr>
          <w:rFonts w:eastAsia="TimesNewRoman"/>
          <w:sz w:val="20"/>
          <w:szCs w:val="20"/>
        </w:rPr>
        <w:t xml:space="preserve"> </w:t>
      </w:r>
    </w:p>
    <w:p w:rsidR="00B93F84" w:rsidRPr="001E06B3" w:rsidRDefault="000641E1" w:rsidP="000641E1">
      <w:pPr>
        <w:autoSpaceDE w:val="0"/>
        <w:autoSpaceDN w:val="0"/>
        <w:adjustRightInd w:val="0"/>
        <w:spacing w:line="240" w:lineRule="auto"/>
        <w:jc w:val="right"/>
        <w:rPr>
          <w:rFonts w:eastAsia="TimesNewRoman"/>
          <w:sz w:val="20"/>
          <w:szCs w:val="20"/>
          <w:lang w:val="uk-UA"/>
        </w:rPr>
      </w:pPr>
      <w:proofErr w:type="spellStart"/>
      <w:r w:rsidRPr="001E06B3">
        <w:rPr>
          <w:rFonts w:eastAsia="TimesNewRoman"/>
          <w:sz w:val="20"/>
          <w:szCs w:val="20"/>
        </w:rPr>
        <w:t>економічних</w:t>
      </w:r>
      <w:proofErr w:type="spellEnd"/>
      <w:r w:rsidRPr="001E06B3">
        <w:rPr>
          <w:rFonts w:eastAsia="TimesNewRoman"/>
          <w:sz w:val="20"/>
          <w:szCs w:val="20"/>
          <w:lang w:val="uk-UA"/>
        </w:rPr>
        <w:t xml:space="preserve"> </w:t>
      </w:r>
      <w:proofErr w:type="spellStart"/>
      <w:r w:rsidRPr="001E06B3">
        <w:rPr>
          <w:rFonts w:eastAsia="TimesNewRoman"/>
          <w:sz w:val="20"/>
          <w:szCs w:val="20"/>
        </w:rPr>
        <w:t>відносин</w:t>
      </w:r>
      <w:proofErr w:type="spellEnd"/>
      <w:r w:rsidRPr="001E06B3">
        <w:rPr>
          <w:rFonts w:eastAsia="TimesNewRoman"/>
          <w:sz w:val="20"/>
          <w:szCs w:val="20"/>
        </w:rPr>
        <w:t xml:space="preserve"> і </w:t>
      </w:r>
      <w:proofErr w:type="spellStart"/>
      <w:r w:rsidRPr="001E06B3">
        <w:rPr>
          <w:rFonts w:eastAsia="TimesNewRoman"/>
          <w:sz w:val="20"/>
          <w:szCs w:val="20"/>
        </w:rPr>
        <w:t>бізнесу</w:t>
      </w:r>
      <w:proofErr w:type="spellEnd"/>
    </w:p>
    <w:p w:rsidR="00C252FD" w:rsidRPr="001E06B3" w:rsidRDefault="00C252FD" w:rsidP="00063E78">
      <w:pPr>
        <w:autoSpaceDE w:val="0"/>
        <w:autoSpaceDN w:val="0"/>
        <w:adjustRightInd w:val="0"/>
        <w:spacing w:line="240" w:lineRule="auto"/>
        <w:jc w:val="right"/>
        <w:rPr>
          <w:rFonts w:eastAsia="TimesNewRoman"/>
          <w:sz w:val="20"/>
          <w:szCs w:val="20"/>
        </w:rPr>
      </w:pPr>
      <w:proofErr w:type="spellStart"/>
      <w:r w:rsidRPr="001E06B3">
        <w:rPr>
          <w:rFonts w:eastAsia="TimesNewRoman"/>
          <w:sz w:val="20"/>
          <w:szCs w:val="20"/>
        </w:rPr>
        <w:t>Інститут</w:t>
      </w:r>
      <w:proofErr w:type="spellEnd"/>
      <w:r w:rsidRPr="001E06B3">
        <w:rPr>
          <w:rFonts w:eastAsia="TimesNewRoman"/>
          <w:sz w:val="20"/>
          <w:szCs w:val="20"/>
        </w:rPr>
        <w:t xml:space="preserve"> </w:t>
      </w:r>
      <w:proofErr w:type="spellStart"/>
      <w:r w:rsidRPr="001E06B3">
        <w:rPr>
          <w:rFonts w:eastAsia="TimesNewRoman"/>
          <w:sz w:val="20"/>
          <w:szCs w:val="20"/>
        </w:rPr>
        <w:t>міжнародних</w:t>
      </w:r>
      <w:proofErr w:type="spellEnd"/>
      <w:r w:rsidRPr="001E06B3">
        <w:rPr>
          <w:rFonts w:eastAsia="TimesNewRoman"/>
          <w:sz w:val="20"/>
          <w:szCs w:val="20"/>
        </w:rPr>
        <w:t xml:space="preserve"> </w:t>
      </w:r>
      <w:proofErr w:type="spellStart"/>
      <w:r w:rsidRPr="001E06B3">
        <w:rPr>
          <w:rFonts w:eastAsia="TimesNewRoman"/>
          <w:sz w:val="20"/>
          <w:szCs w:val="20"/>
        </w:rPr>
        <w:t>відносин</w:t>
      </w:r>
      <w:proofErr w:type="spellEnd"/>
    </w:p>
    <w:p w:rsidR="00C252FD" w:rsidRPr="001E06B3" w:rsidRDefault="00C252FD" w:rsidP="00063E78">
      <w:pPr>
        <w:autoSpaceDE w:val="0"/>
        <w:autoSpaceDN w:val="0"/>
        <w:adjustRightInd w:val="0"/>
        <w:spacing w:line="240" w:lineRule="auto"/>
        <w:jc w:val="right"/>
        <w:rPr>
          <w:rFonts w:eastAsia="TimesNewRoman"/>
          <w:sz w:val="20"/>
          <w:szCs w:val="20"/>
        </w:rPr>
      </w:pPr>
      <w:proofErr w:type="spellStart"/>
      <w:r w:rsidRPr="001E06B3">
        <w:rPr>
          <w:rFonts w:eastAsia="TimesNewRoman"/>
          <w:sz w:val="20"/>
          <w:szCs w:val="20"/>
        </w:rPr>
        <w:t>Національного</w:t>
      </w:r>
      <w:proofErr w:type="spellEnd"/>
      <w:r w:rsidRPr="001E06B3">
        <w:rPr>
          <w:rFonts w:eastAsia="TimesNewRoman"/>
          <w:sz w:val="20"/>
          <w:szCs w:val="20"/>
        </w:rPr>
        <w:t xml:space="preserve"> </w:t>
      </w:r>
      <w:proofErr w:type="spellStart"/>
      <w:r w:rsidRPr="001E06B3">
        <w:rPr>
          <w:rFonts w:eastAsia="TimesNewRoman"/>
          <w:sz w:val="20"/>
          <w:szCs w:val="20"/>
        </w:rPr>
        <w:t>авіаційного</w:t>
      </w:r>
      <w:proofErr w:type="spellEnd"/>
      <w:r w:rsidRPr="001E06B3">
        <w:rPr>
          <w:rFonts w:eastAsia="TimesNewRoman"/>
          <w:sz w:val="20"/>
          <w:szCs w:val="20"/>
        </w:rPr>
        <w:t xml:space="preserve"> </w:t>
      </w:r>
      <w:proofErr w:type="spellStart"/>
      <w:r w:rsidRPr="001E06B3">
        <w:rPr>
          <w:rFonts w:eastAsia="TimesNewRoman"/>
          <w:sz w:val="20"/>
          <w:szCs w:val="20"/>
        </w:rPr>
        <w:t>університету</w:t>
      </w:r>
      <w:proofErr w:type="spellEnd"/>
    </w:p>
    <w:p w:rsidR="00C252FD" w:rsidRPr="001E06B3" w:rsidRDefault="00C252FD" w:rsidP="00063E78">
      <w:pPr>
        <w:tabs>
          <w:tab w:val="right" w:leader="dot" w:pos="9356"/>
        </w:tabs>
        <w:spacing w:line="240" w:lineRule="auto"/>
        <w:jc w:val="center"/>
        <w:rPr>
          <w:b/>
          <w:sz w:val="20"/>
          <w:szCs w:val="20"/>
          <w:lang w:val="uk-UA"/>
        </w:rPr>
      </w:pPr>
    </w:p>
    <w:p w:rsidR="00A650B0" w:rsidRPr="001E06B3" w:rsidRDefault="00063E78" w:rsidP="00063E78">
      <w:pPr>
        <w:tabs>
          <w:tab w:val="right" w:leader="dot" w:pos="9356"/>
        </w:tabs>
        <w:spacing w:line="240" w:lineRule="auto"/>
        <w:jc w:val="center"/>
        <w:rPr>
          <w:b/>
          <w:sz w:val="20"/>
          <w:szCs w:val="20"/>
          <w:lang w:val="uk-UA"/>
        </w:rPr>
      </w:pPr>
      <w:r w:rsidRPr="001E06B3">
        <w:rPr>
          <w:b/>
          <w:sz w:val="20"/>
          <w:szCs w:val="20"/>
          <w:lang w:val="uk-UA"/>
        </w:rPr>
        <w:t>АНАЛІЗ ІНВЕСТИЦІЙНОЇ ДІЯЛЬНОСТІ</w:t>
      </w:r>
      <w:r w:rsidRPr="001E06B3">
        <w:rPr>
          <w:b/>
          <w:sz w:val="20"/>
          <w:szCs w:val="20"/>
        </w:rPr>
        <w:t xml:space="preserve"> </w:t>
      </w:r>
      <w:r w:rsidRPr="001E06B3">
        <w:rPr>
          <w:b/>
          <w:sz w:val="20"/>
          <w:szCs w:val="20"/>
          <w:lang w:val="uk-UA"/>
        </w:rPr>
        <w:t>ТРАНСНАЦІОНАЛЬНИХ КОРПОРАЦІЙ</w:t>
      </w:r>
    </w:p>
    <w:p w:rsidR="00063E78" w:rsidRPr="001E06B3" w:rsidRDefault="00063E78" w:rsidP="00063E78">
      <w:pPr>
        <w:tabs>
          <w:tab w:val="right" w:leader="dot" w:pos="9356"/>
        </w:tabs>
        <w:spacing w:line="240" w:lineRule="auto"/>
        <w:jc w:val="center"/>
        <w:rPr>
          <w:rStyle w:val="hps"/>
          <w:b/>
          <w:sz w:val="20"/>
          <w:szCs w:val="20"/>
        </w:rPr>
      </w:pPr>
    </w:p>
    <w:p w:rsidR="00063E78" w:rsidRPr="001E06B3" w:rsidRDefault="00063E78" w:rsidP="00063E78">
      <w:pPr>
        <w:tabs>
          <w:tab w:val="right" w:leader="dot" w:pos="9356"/>
        </w:tabs>
        <w:spacing w:line="240" w:lineRule="auto"/>
        <w:jc w:val="center"/>
        <w:rPr>
          <w:rStyle w:val="hps"/>
          <w:b/>
          <w:sz w:val="20"/>
          <w:szCs w:val="20"/>
        </w:rPr>
      </w:pPr>
      <w:r w:rsidRPr="001E06B3">
        <w:rPr>
          <w:rStyle w:val="hps"/>
          <w:b/>
          <w:sz w:val="20"/>
          <w:szCs w:val="20"/>
        </w:rPr>
        <w:t>АНАЛИЗ</w:t>
      </w:r>
      <w:r w:rsidRPr="001E06B3">
        <w:rPr>
          <w:b/>
          <w:sz w:val="20"/>
          <w:szCs w:val="20"/>
        </w:rPr>
        <w:t xml:space="preserve"> </w:t>
      </w:r>
      <w:r w:rsidRPr="001E06B3">
        <w:rPr>
          <w:rStyle w:val="hps"/>
          <w:b/>
          <w:sz w:val="20"/>
          <w:szCs w:val="20"/>
        </w:rPr>
        <w:t>ИНВЕСТИЦИОННОЙ</w:t>
      </w:r>
      <w:r w:rsidRPr="001E06B3">
        <w:rPr>
          <w:b/>
          <w:sz w:val="20"/>
          <w:szCs w:val="20"/>
        </w:rPr>
        <w:t xml:space="preserve"> </w:t>
      </w:r>
      <w:r w:rsidRPr="001E06B3">
        <w:rPr>
          <w:rStyle w:val="hps"/>
          <w:b/>
          <w:sz w:val="20"/>
          <w:szCs w:val="20"/>
        </w:rPr>
        <w:t>ДЕЯТЕЛЬНОСТИ</w:t>
      </w:r>
      <w:r w:rsidRPr="001E06B3">
        <w:rPr>
          <w:b/>
          <w:sz w:val="20"/>
          <w:szCs w:val="20"/>
        </w:rPr>
        <w:t xml:space="preserve"> </w:t>
      </w:r>
      <w:r w:rsidRPr="001E06B3">
        <w:rPr>
          <w:rStyle w:val="hps"/>
          <w:b/>
          <w:sz w:val="20"/>
          <w:szCs w:val="20"/>
        </w:rPr>
        <w:t>ТРАНСНАЦИОНАЛЬНЫХ</w:t>
      </w:r>
      <w:r w:rsidRPr="001E06B3">
        <w:rPr>
          <w:b/>
          <w:sz w:val="20"/>
          <w:szCs w:val="20"/>
        </w:rPr>
        <w:t xml:space="preserve"> </w:t>
      </w:r>
      <w:r w:rsidRPr="001E06B3">
        <w:rPr>
          <w:rStyle w:val="hps"/>
          <w:b/>
          <w:sz w:val="20"/>
          <w:szCs w:val="20"/>
        </w:rPr>
        <w:t>КОРПОРАЦИЙ</w:t>
      </w:r>
    </w:p>
    <w:p w:rsidR="00063E78" w:rsidRPr="001E06B3" w:rsidRDefault="00063E78" w:rsidP="00063E78">
      <w:pPr>
        <w:tabs>
          <w:tab w:val="right" w:leader="dot" w:pos="9356"/>
        </w:tabs>
        <w:spacing w:line="240" w:lineRule="auto"/>
        <w:jc w:val="center"/>
        <w:rPr>
          <w:rStyle w:val="hps"/>
          <w:b/>
          <w:sz w:val="20"/>
          <w:szCs w:val="20"/>
        </w:rPr>
      </w:pPr>
    </w:p>
    <w:p w:rsidR="00063E78" w:rsidRPr="001E06B3" w:rsidRDefault="00063E78" w:rsidP="00063E78">
      <w:pPr>
        <w:tabs>
          <w:tab w:val="right" w:leader="dot" w:pos="9356"/>
        </w:tabs>
        <w:spacing w:line="240" w:lineRule="auto"/>
        <w:jc w:val="center"/>
        <w:rPr>
          <w:b/>
          <w:sz w:val="20"/>
          <w:szCs w:val="20"/>
          <w:lang w:val="en-US"/>
        </w:rPr>
      </w:pPr>
      <w:r w:rsidRPr="001E06B3">
        <w:rPr>
          <w:rStyle w:val="hps"/>
          <w:b/>
          <w:sz w:val="20"/>
          <w:szCs w:val="20"/>
          <w:lang w:val="en-US"/>
        </w:rPr>
        <w:t>ANALYSIS OF THE INVESTMENT</w:t>
      </w:r>
      <w:r w:rsidRPr="001E06B3">
        <w:rPr>
          <w:b/>
          <w:sz w:val="20"/>
          <w:szCs w:val="20"/>
          <w:lang w:val="en-US"/>
        </w:rPr>
        <w:t xml:space="preserve"> </w:t>
      </w:r>
      <w:r w:rsidRPr="001E06B3">
        <w:rPr>
          <w:rStyle w:val="hps"/>
          <w:b/>
          <w:sz w:val="20"/>
          <w:szCs w:val="20"/>
          <w:lang w:val="en-US"/>
        </w:rPr>
        <w:t>ACTIVITIES OF TRANSNATIONAL CORPORATION</w:t>
      </w:r>
    </w:p>
    <w:p w:rsidR="00A650B0" w:rsidRPr="001E06B3" w:rsidRDefault="00A650B0" w:rsidP="00063E78">
      <w:pPr>
        <w:spacing w:line="240" w:lineRule="auto"/>
        <w:ind w:firstLine="720"/>
        <w:jc w:val="both"/>
        <w:rPr>
          <w:sz w:val="20"/>
          <w:szCs w:val="20"/>
          <w:lang w:val="uk-UA"/>
        </w:rPr>
      </w:pPr>
    </w:p>
    <w:p w:rsidR="003B5B44" w:rsidRPr="001E06B3" w:rsidRDefault="003B5B44" w:rsidP="00063E78">
      <w:pPr>
        <w:spacing w:line="240" w:lineRule="auto"/>
        <w:ind w:firstLine="720"/>
        <w:jc w:val="both"/>
        <w:rPr>
          <w:sz w:val="20"/>
          <w:szCs w:val="20"/>
          <w:lang w:val="uk-UA"/>
        </w:rPr>
      </w:pPr>
      <w:r w:rsidRPr="001E06B3">
        <w:rPr>
          <w:i/>
          <w:sz w:val="20"/>
          <w:szCs w:val="20"/>
          <w:lang w:val="uk-UA"/>
        </w:rPr>
        <w:t>Анотація.</w:t>
      </w:r>
      <w:r w:rsidR="00E439F2" w:rsidRPr="001E06B3">
        <w:rPr>
          <w:i/>
          <w:sz w:val="20"/>
          <w:szCs w:val="20"/>
          <w:lang w:val="uk-UA"/>
        </w:rPr>
        <w:t xml:space="preserve"> </w:t>
      </w:r>
      <w:r w:rsidR="00E439F2" w:rsidRPr="001E06B3">
        <w:rPr>
          <w:sz w:val="20"/>
          <w:szCs w:val="20"/>
          <w:lang w:val="uk-UA"/>
        </w:rPr>
        <w:t xml:space="preserve">У статті проаналізована динаміка руху прямих іноземних інвестицій ТНК та дана оцінка сучасного стану та тенденцій розвитку міжнародної інвестиційної діяльності ТНК. Також виділені основні тенденції глобальних </w:t>
      </w:r>
      <w:r w:rsidR="000C3E08" w:rsidRPr="001E06B3">
        <w:rPr>
          <w:sz w:val="20"/>
          <w:szCs w:val="20"/>
          <w:lang w:val="uk-UA"/>
        </w:rPr>
        <w:t xml:space="preserve">потоків </w:t>
      </w:r>
      <w:r w:rsidR="00E439F2" w:rsidRPr="001E06B3">
        <w:rPr>
          <w:sz w:val="20"/>
          <w:szCs w:val="20"/>
          <w:lang w:val="uk-UA"/>
        </w:rPr>
        <w:t>прямих іноземних інвестицій у 2012 році</w:t>
      </w:r>
      <w:r w:rsidR="000C3E08" w:rsidRPr="001E06B3">
        <w:rPr>
          <w:sz w:val="20"/>
          <w:szCs w:val="20"/>
          <w:lang w:val="uk-UA"/>
        </w:rPr>
        <w:t>.</w:t>
      </w:r>
    </w:p>
    <w:p w:rsidR="000C3E08" w:rsidRPr="001E06B3" w:rsidRDefault="000C3E08" w:rsidP="00063E78">
      <w:pPr>
        <w:spacing w:line="240" w:lineRule="auto"/>
        <w:ind w:firstLine="720"/>
        <w:jc w:val="both"/>
        <w:rPr>
          <w:sz w:val="20"/>
          <w:szCs w:val="20"/>
          <w:lang w:val="uk-UA"/>
        </w:rPr>
      </w:pPr>
      <w:r w:rsidRPr="001E06B3">
        <w:rPr>
          <w:i/>
          <w:sz w:val="20"/>
          <w:szCs w:val="20"/>
          <w:lang w:val="uk-UA"/>
        </w:rPr>
        <w:t>Ключові слова:</w:t>
      </w:r>
      <w:r w:rsidRPr="001E06B3">
        <w:rPr>
          <w:sz w:val="20"/>
          <w:szCs w:val="20"/>
          <w:lang w:val="uk-UA"/>
        </w:rPr>
        <w:t xml:space="preserve"> транснаціональні корпорації (ТНК), глобальні потоки прямих іноземних інвестицій (ПІІ), країни-інвестори, глобалізація, інвестори по залученню ПІІ, світова економіка.</w:t>
      </w:r>
    </w:p>
    <w:p w:rsidR="000641E1" w:rsidRPr="001E06B3" w:rsidRDefault="000641E1" w:rsidP="00063E78">
      <w:pPr>
        <w:spacing w:line="240" w:lineRule="auto"/>
        <w:ind w:firstLine="720"/>
        <w:jc w:val="both"/>
        <w:rPr>
          <w:sz w:val="20"/>
          <w:szCs w:val="20"/>
          <w:lang w:val="uk-UA"/>
        </w:rPr>
      </w:pPr>
      <w:r w:rsidRPr="001E06B3">
        <w:rPr>
          <w:rStyle w:val="hps"/>
          <w:i/>
          <w:sz w:val="20"/>
          <w:szCs w:val="20"/>
        </w:rPr>
        <w:t>Аннотация</w:t>
      </w:r>
      <w:r w:rsidRPr="001E06B3">
        <w:rPr>
          <w:i/>
          <w:sz w:val="20"/>
          <w:szCs w:val="20"/>
        </w:rPr>
        <w:t>.</w:t>
      </w:r>
      <w:r w:rsidRPr="001E06B3">
        <w:rPr>
          <w:sz w:val="20"/>
          <w:szCs w:val="20"/>
        </w:rPr>
        <w:t xml:space="preserve"> </w:t>
      </w:r>
      <w:r w:rsidRPr="001E06B3">
        <w:rPr>
          <w:rStyle w:val="hps"/>
          <w:sz w:val="20"/>
          <w:szCs w:val="20"/>
        </w:rPr>
        <w:t>В статье</w:t>
      </w:r>
      <w:r w:rsidRPr="001E06B3">
        <w:rPr>
          <w:sz w:val="20"/>
          <w:szCs w:val="20"/>
        </w:rPr>
        <w:t xml:space="preserve"> </w:t>
      </w:r>
      <w:r w:rsidRPr="001E06B3">
        <w:rPr>
          <w:rStyle w:val="hps"/>
          <w:sz w:val="20"/>
          <w:szCs w:val="20"/>
        </w:rPr>
        <w:t>проанализирована</w:t>
      </w:r>
      <w:r w:rsidRPr="001E06B3">
        <w:rPr>
          <w:sz w:val="20"/>
          <w:szCs w:val="20"/>
        </w:rPr>
        <w:t xml:space="preserve"> </w:t>
      </w:r>
      <w:r w:rsidRPr="001E06B3">
        <w:rPr>
          <w:rStyle w:val="hps"/>
          <w:sz w:val="20"/>
          <w:szCs w:val="20"/>
        </w:rPr>
        <w:t>динамика</w:t>
      </w:r>
      <w:r w:rsidRPr="001E06B3">
        <w:rPr>
          <w:sz w:val="20"/>
          <w:szCs w:val="20"/>
        </w:rPr>
        <w:t xml:space="preserve"> </w:t>
      </w:r>
      <w:r w:rsidRPr="001E06B3">
        <w:rPr>
          <w:rStyle w:val="hps"/>
          <w:sz w:val="20"/>
          <w:szCs w:val="20"/>
        </w:rPr>
        <w:t>движения</w:t>
      </w:r>
      <w:r w:rsidRPr="001E06B3">
        <w:rPr>
          <w:sz w:val="20"/>
          <w:szCs w:val="20"/>
        </w:rPr>
        <w:t xml:space="preserve"> </w:t>
      </w:r>
      <w:r w:rsidRPr="001E06B3">
        <w:rPr>
          <w:rStyle w:val="hps"/>
          <w:sz w:val="20"/>
          <w:szCs w:val="20"/>
        </w:rPr>
        <w:t>прямых</w:t>
      </w:r>
      <w:r w:rsidRPr="001E06B3">
        <w:rPr>
          <w:sz w:val="20"/>
          <w:szCs w:val="20"/>
        </w:rPr>
        <w:t xml:space="preserve"> </w:t>
      </w:r>
      <w:r w:rsidRPr="001E06B3">
        <w:rPr>
          <w:rStyle w:val="hps"/>
          <w:sz w:val="20"/>
          <w:szCs w:val="20"/>
        </w:rPr>
        <w:t>иностранных</w:t>
      </w:r>
      <w:r w:rsidRPr="001E06B3">
        <w:rPr>
          <w:sz w:val="20"/>
          <w:szCs w:val="20"/>
        </w:rPr>
        <w:t xml:space="preserve"> </w:t>
      </w:r>
      <w:r w:rsidRPr="001E06B3">
        <w:rPr>
          <w:rStyle w:val="hps"/>
          <w:sz w:val="20"/>
          <w:szCs w:val="20"/>
        </w:rPr>
        <w:t>инвестиций</w:t>
      </w:r>
      <w:r w:rsidRPr="001E06B3">
        <w:rPr>
          <w:sz w:val="20"/>
          <w:szCs w:val="20"/>
        </w:rPr>
        <w:t xml:space="preserve"> </w:t>
      </w:r>
      <w:r w:rsidRPr="001E06B3">
        <w:rPr>
          <w:rStyle w:val="hps"/>
          <w:sz w:val="20"/>
          <w:szCs w:val="20"/>
        </w:rPr>
        <w:t>ТНК</w:t>
      </w:r>
      <w:r w:rsidRPr="001E06B3">
        <w:rPr>
          <w:sz w:val="20"/>
          <w:szCs w:val="20"/>
        </w:rPr>
        <w:t xml:space="preserve"> </w:t>
      </w:r>
      <w:r w:rsidRPr="001E06B3">
        <w:rPr>
          <w:rStyle w:val="hps"/>
          <w:sz w:val="20"/>
          <w:szCs w:val="20"/>
        </w:rPr>
        <w:t>и</w:t>
      </w:r>
      <w:r w:rsidRPr="001E06B3">
        <w:rPr>
          <w:sz w:val="20"/>
          <w:szCs w:val="20"/>
        </w:rPr>
        <w:t xml:space="preserve"> </w:t>
      </w:r>
      <w:r w:rsidRPr="001E06B3">
        <w:rPr>
          <w:rStyle w:val="hps"/>
          <w:sz w:val="20"/>
          <w:szCs w:val="20"/>
        </w:rPr>
        <w:t>дана оценка</w:t>
      </w:r>
      <w:r w:rsidRPr="001E06B3">
        <w:rPr>
          <w:sz w:val="20"/>
          <w:szCs w:val="20"/>
        </w:rPr>
        <w:t xml:space="preserve"> </w:t>
      </w:r>
      <w:r w:rsidRPr="001E06B3">
        <w:rPr>
          <w:rStyle w:val="hps"/>
          <w:sz w:val="20"/>
          <w:szCs w:val="20"/>
        </w:rPr>
        <w:t>современного</w:t>
      </w:r>
      <w:r w:rsidRPr="001E06B3">
        <w:rPr>
          <w:sz w:val="20"/>
          <w:szCs w:val="20"/>
        </w:rPr>
        <w:t xml:space="preserve"> </w:t>
      </w:r>
      <w:r w:rsidRPr="001E06B3">
        <w:rPr>
          <w:rStyle w:val="hps"/>
          <w:sz w:val="20"/>
          <w:szCs w:val="20"/>
        </w:rPr>
        <w:t>состояния</w:t>
      </w:r>
      <w:r w:rsidRPr="001E06B3">
        <w:rPr>
          <w:sz w:val="20"/>
          <w:szCs w:val="20"/>
        </w:rPr>
        <w:t xml:space="preserve"> </w:t>
      </w:r>
      <w:r w:rsidRPr="001E06B3">
        <w:rPr>
          <w:rStyle w:val="hps"/>
          <w:sz w:val="20"/>
          <w:szCs w:val="20"/>
        </w:rPr>
        <w:t>и</w:t>
      </w:r>
      <w:r w:rsidRPr="001E06B3">
        <w:rPr>
          <w:sz w:val="20"/>
          <w:szCs w:val="20"/>
        </w:rPr>
        <w:t xml:space="preserve"> </w:t>
      </w:r>
      <w:r w:rsidRPr="001E06B3">
        <w:rPr>
          <w:rStyle w:val="hps"/>
          <w:sz w:val="20"/>
          <w:szCs w:val="20"/>
        </w:rPr>
        <w:t>тенденций развития</w:t>
      </w:r>
      <w:r w:rsidRPr="001E06B3">
        <w:rPr>
          <w:sz w:val="20"/>
          <w:szCs w:val="20"/>
        </w:rPr>
        <w:t xml:space="preserve"> </w:t>
      </w:r>
      <w:r w:rsidRPr="001E06B3">
        <w:rPr>
          <w:rStyle w:val="hps"/>
          <w:sz w:val="20"/>
          <w:szCs w:val="20"/>
        </w:rPr>
        <w:t>международной</w:t>
      </w:r>
      <w:r w:rsidRPr="001E06B3">
        <w:rPr>
          <w:sz w:val="20"/>
          <w:szCs w:val="20"/>
        </w:rPr>
        <w:t xml:space="preserve"> </w:t>
      </w:r>
      <w:r w:rsidRPr="001E06B3">
        <w:rPr>
          <w:rStyle w:val="hps"/>
          <w:sz w:val="20"/>
          <w:szCs w:val="20"/>
        </w:rPr>
        <w:t>инвестиционной</w:t>
      </w:r>
      <w:r w:rsidRPr="001E06B3">
        <w:rPr>
          <w:sz w:val="20"/>
          <w:szCs w:val="20"/>
        </w:rPr>
        <w:t xml:space="preserve"> </w:t>
      </w:r>
      <w:r w:rsidRPr="001E06B3">
        <w:rPr>
          <w:rStyle w:val="hps"/>
          <w:sz w:val="20"/>
          <w:szCs w:val="20"/>
        </w:rPr>
        <w:t>деятельности</w:t>
      </w:r>
      <w:r w:rsidRPr="001E06B3">
        <w:rPr>
          <w:sz w:val="20"/>
          <w:szCs w:val="20"/>
        </w:rPr>
        <w:t xml:space="preserve"> </w:t>
      </w:r>
      <w:r w:rsidRPr="001E06B3">
        <w:rPr>
          <w:rStyle w:val="hps"/>
          <w:sz w:val="20"/>
          <w:szCs w:val="20"/>
        </w:rPr>
        <w:t>ТНК</w:t>
      </w:r>
      <w:r w:rsidRPr="001E06B3">
        <w:rPr>
          <w:sz w:val="20"/>
          <w:szCs w:val="20"/>
        </w:rPr>
        <w:t xml:space="preserve">. </w:t>
      </w:r>
      <w:r w:rsidRPr="001E06B3">
        <w:rPr>
          <w:rStyle w:val="hps"/>
          <w:sz w:val="20"/>
          <w:szCs w:val="20"/>
        </w:rPr>
        <w:t>Также</w:t>
      </w:r>
      <w:r w:rsidRPr="001E06B3">
        <w:rPr>
          <w:sz w:val="20"/>
          <w:szCs w:val="20"/>
        </w:rPr>
        <w:t xml:space="preserve"> </w:t>
      </w:r>
      <w:r w:rsidRPr="001E06B3">
        <w:rPr>
          <w:rStyle w:val="hps"/>
          <w:sz w:val="20"/>
          <w:szCs w:val="20"/>
        </w:rPr>
        <w:t>выделены основные</w:t>
      </w:r>
      <w:r w:rsidRPr="001E06B3">
        <w:rPr>
          <w:sz w:val="20"/>
          <w:szCs w:val="20"/>
        </w:rPr>
        <w:t xml:space="preserve"> </w:t>
      </w:r>
      <w:r w:rsidRPr="001E06B3">
        <w:rPr>
          <w:rStyle w:val="hps"/>
          <w:sz w:val="20"/>
          <w:szCs w:val="20"/>
        </w:rPr>
        <w:t>тенденции</w:t>
      </w:r>
      <w:r w:rsidRPr="001E06B3">
        <w:rPr>
          <w:sz w:val="20"/>
          <w:szCs w:val="20"/>
        </w:rPr>
        <w:t xml:space="preserve"> </w:t>
      </w:r>
      <w:r w:rsidRPr="001E06B3">
        <w:rPr>
          <w:rStyle w:val="hps"/>
          <w:sz w:val="20"/>
          <w:szCs w:val="20"/>
        </w:rPr>
        <w:t>глобальных</w:t>
      </w:r>
      <w:r w:rsidRPr="001E06B3">
        <w:rPr>
          <w:sz w:val="20"/>
          <w:szCs w:val="20"/>
        </w:rPr>
        <w:t xml:space="preserve"> </w:t>
      </w:r>
      <w:r w:rsidRPr="001E06B3">
        <w:rPr>
          <w:rStyle w:val="hps"/>
          <w:sz w:val="20"/>
          <w:szCs w:val="20"/>
        </w:rPr>
        <w:t>потоков</w:t>
      </w:r>
      <w:r w:rsidRPr="001E06B3">
        <w:rPr>
          <w:sz w:val="20"/>
          <w:szCs w:val="20"/>
        </w:rPr>
        <w:t xml:space="preserve"> </w:t>
      </w:r>
      <w:r w:rsidRPr="001E06B3">
        <w:rPr>
          <w:rStyle w:val="hps"/>
          <w:sz w:val="20"/>
          <w:szCs w:val="20"/>
        </w:rPr>
        <w:t>прямых</w:t>
      </w:r>
      <w:r w:rsidRPr="001E06B3">
        <w:rPr>
          <w:sz w:val="20"/>
          <w:szCs w:val="20"/>
        </w:rPr>
        <w:t xml:space="preserve"> </w:t>
      </w:r>
      <w:r w:rsidRPr="001E06B3">
        <w:rPr>
          <w:rStyle w:val="hps"/>
          <w:sz w:val="20"/>
          <w:szCs w:val="20"/>
        </w:rPr>
        <w:t>иностранных</w:t>
      </w:r>
      <w:r w:rsidRPr="001E06B3">
        <w:rPr>
          <w:sz w:val="20"/>
          <w:szCs w:val="20"/>
        </w:rPr>
        <w:t xml:space="preserve"> </w:t>
      </w:r>
      <w:r w:rsidRPr="001E06B3">
        <w:rPr>
          <w:rStyle w:val="hps"/>
          <w:sz w:val="20"/>
          <w:szCs w:val="20"/>
        </w:rPr>
        <w:t>инвестиций</w:t>
      </w:r>
      <w:r w:rsidRPr="001E06B3">
        <w:rPr>
          <w:sz w:val="20"/>
          <w:szCs w:val="20"/>
        </w:rPr>
        <w:t xml:space="preserve"> </w:t>
      </w:r>
      <w:r w:rsidRPr="001E06B3">
        <w:rPr>
          <w:rStyle w:val="hps"/>
          <w:sz w:val="20"/>
          <w:szCs w:val="20"/>
        </w:rPr>
        <w:t>в 2012</w:t>
      </w:r>
      <w:r w:rsidRPr="001E06B3">
        <w:rPr>
          <w:sz w:val="20"/>
          <w:szCs w:val="20"/>
        </w:rPr>
        <w:t xml:space="preserve"> </w:t>
      </w:r>
      <w:r w:rsidRPr="001E06B3">
        <w:rPr>
          <w:rStyle w:val="hps"/>
          <w:sz w:val="20"/>
          <w:szCs w:val="20"/>
        </w:rPr>
        <w:t>году</w:t>
      </w:r>
      <w:r w:rsidRPr="001E06B3">
        <w:rPr>
          <w:sz w:val="20"/>
          <w:szCs w:val="20"/>
        </w:rPr>
        <w:t>.</w:t>
      </w:r>
    </w:p>
    <w:p w:rsidR="000641E1" w:rsidRPr="001E06B3" w:rsidRDefault="000641E1" w:rsidP="00063E78">
      <w:pPr>
        <w:spacing w:line="240" w:lineRule="auto"/>
        <w:ind w:firstLine="720"/>
        <w:jc w:val="both"/>
        <w:rPr>
          <w:sz w:val="20"/>
          <w:szCs w:val="20"/>
          <w:lang w:val="uk-UA"/>
        </w:rPr>
      </w:pPr>
      <w:proofErr w:type="gramStart"/>
      <w:r w:rsidRPr="001E06B3">
        <w:rPr>
          <w:rStyle w:val="hps"/>
          <w:i/>
          <w:sz w:val="20"/>
          <w:szCs w:val="20"/>
        </w:rPr>
        <w:t>Ключевые слова</w:t>
      </w:r>
      <w:r w:rsidRPr="001E06B3">
        <w:rPr>
          <w:i/>
          <w:sz w:val="20"/>
          <w:szCs w:val="20"/>
        </w:rPr>
        <w:t>:</w:t>
      </w:r>
      <w:r w:rsidRPr="001E06B3">
        <w:rPr>
          <w:sz w:val="20"/>
          <w:szCs w:val="20"/>
        </w:rPr>
        <w:t xml:space="preserve"> </w:t>
      </w:r>
      <w:r w:rsidRPr="001E06B3">
        <w:rPr>
          <w:rStyle w:val="hps"/>
          <w:sz w:val="20"/>
          <w:szCs w:val="20"/>
        </w:rPr>
        <w:t>транснациональные</w:t>
      </w:r>
      <w:r w:rsidRPr="001E06B3">
        <w:rPr>
          <w:sz w:val="20"/>
          <w:szCs w:val="20"/>
        </w:rPr>
        <w:t xml:space="preserve"> </w:t>
      </w:r>
      <w:r w:rsidRPr="001E06B3">
        <w:rPr>
          <w:rStyle w:val="hps"/>
          <w:sz w:val="20"/>
          <w:szCs w:val="20"/>
        </w:rPr>
        <w:t>корпорации (</w:t>
      </w:r>
      <w:r w:rsidRPr="001E06B3">
        <w:rPr>
          <w:sz w:val="20"/>
          <w:szCs w:val="20"/>
        </w:rPr>
        <w:t xml:space="preserve">ТНК), </w:t>
      </w:r>
      <w:r w:rsidRPr="001E06B3">
        <w:rPr>
          <w:rStyle w:val="hps"/>
          <w:sz w:val="20"/>
          <w:szCs w:val="20"/>
        </w:rPr>
        <w:t>глобальные</w:t>
      </w:r>
      <w:r w:rsidRPr="001E06B3">
        <w:rPr>
          <w:sz w:val="20"/>
          <w:szCs w:val="20"/>
        </w:rPr>
        <w:t xml:space="preserve"> </w:t>
      </w:r>
      <w:r w:rsidRPr="001E06B3">
        <w:rPr>
          <w:rStyle w:val="hps"/>
          <w:sz w:val="20"/>
          <w:szCs w:val="20"/>
        </w:rPr>
        <w:t>потоки</w:t>
      </w:r>
      <w:r w:rsidRPr="001E06B3">
        <w:rPr>
          <w:sz w:val="20"/>
          <w:szCs w:val="20"/>
        </w:rPr>
        <w:t xml:space="preserve"> </w:t>
      </w:r>
      <w:r w:rsidRPr="001E06B3">
        <w:rPr>
          <w:rStyle w:val="hps"/>
          <w:sz w:val="20"/>
          <w:szCs w:val="20"/>
        </w:rPr>
        <w:t>прямых</w:t>
      </w:r>
      <w:r w:rsidRPr="001E06B3">
        <w:rPr>
          <w:sz w:val="20"/>
          <w:szCs w:val="20"/>
        </w:rPr>
        <w:t xml:space="preserve"> </w:t>
      </w:r>
      <w:r w:rsidRPr="001E06B3">
        <w:rPr>
          <w:rStyle w:val="hps"/>
          <w:sz w:val="20"/>
          <w:szCs w:val="20"/>
        </w:rPr>
        <w:t>иностранных</w:t>
      </w:r>
      <w:r w:rsidRPr="001E06B3">
        <w:rPr>
          <w:sz w:val="20"/>
          <w:szCs w:val="20"/>
        </w:rPr>
        <w:t xml:space="preserve"> </w:t>
      </w:r>
      <w:r w:rsidRPr="001E06B3">
        <w:rPr>
          <w:rStyle w:val="hps"/>
          <w:sz w:val="20"/>
          <w:szCs w:val="20"/>
        </w:rPr>
        <w:t>инвестиций (</w:t>
      </w:r>
      <w:r w:rsidRPr="001E06B3">
        <w:rPr>
          <w:sz w:val="20"/>
          <w:szCs w:val="20"/>
        </w:rPr>
        <w:t xml:space="preserve">ПИИ), </w:t>
      </w:r>
      <w:r w:rsidRPr="001E06B3">
        <w:rPr>
          <w:rStyle w:val="hps"/>
          <w:sz w:val="20"/>
          <w:szCs w:val="20"/>
        </w:rPr>
        <w:t>страны</w:t>
      </w:r>
      <w:r w:rsidRPr="001E06B3">
        <w:rPr>
          <w:rStyle w:val="atn"/>
          <w:sz w:val="20"/>
          <w:szCs w:val="20"/>
        </w:rPr>
        <w:t>-</w:t>
      </w:r>
      <w:r w:rsidRPr="001E06B3">
        <w:rPr>
          <w:sz w:val="20"/>
          <w:szCs w:val="20"/>
        </w:rPr>
        <w:t xml:space="preserve">инвесторы, </w:t>
      </w:r>
      <w:r w:rsidRPr="001E06B3">
        <w:rPr>
          <w:rStyle w:val="hps"/>
          <w:sz w:val="20"/>
          <w:szCs w:val="20"/>
        </w:rPr>
        <w:t>глобализация</w:t>
      </w:r>
      <w:r w:rsidRPr="001E06B3">
        <w:rPr>
          <w:sz w:val="20"/>
          <w:szCs w:val="20"/>
        </w:rPr>
        <w:t xml:space="preserve">, </w:t>
      </w:r>
      <w:r w:rsidRPr="001E06B3">
        <w:rPr>
          <w:rStyle w:val="hps"/>
          <w:sz w:val="20"/>
          <w:szCs w:val="20"/>
        </w:rPr>
        <w:t>инвесторы</w:t>
      </w:r>
      <w:r w:rsidRPr="001E06B3">
        <w:rPr>
          <w:sz w:val="20"/>
          <w:szCs w:val="20"/>
        </w:rPr>
        <w:t xml:space="preserve"> </w:t>
      </w:r>
      <w:r w:rsidRPr="001E06B3">
        <w:rPr>
          <w:rStyle w:val="hps"/>
          <w:sz w:val="20"/>
          <w:szCs w:val="20"/>
        </w:rPr>
        <w:t>по привлечению</w:t>
      </w:r>
      <w:r w:rsidRPr="001E06B3">
        <w:rPr>
          <w:sz w:val="20"/>
          <w:szCs w:val="20"/>
        </w:rPr>
        <w:t xml:space="preserve"> </w:t>
      </w:r>
      <w:r w:rsidRPr="001E06B3">
        <w:rPr>
          <w:rStyle w:val="hps"/>
          <w:sz w:val="20"/>
          <w:szCs w:val="20"/>
        </w:rPr>
        <w:t>ПИИ</w:t>
      </w:r>
      <w:r w:rsidRPr="001E06B3">
        <w:rPr>
          <w:sz w:val="20"/>
          <w:szCs w:val="20"/>
          <w:lang w:val="en-US"/>
        </w:rPr>
        <w:t xml:space="preserve">, </w:t>
      </w:r>
      <w:r w:rsidRPr="001E06B3">
        <w:rPr>
          <w:rStyle w:val="hps"/>
          <w:sz w:val="20"/>
          <w:szCs w:val="20"/>
        </w:rPr>
        <w:t>мировая</w:t>
      </w:r>
      <w:r w:rsidRPr="001E06B3">
        <w:rPr>
          <w:sz w:val="20"/>
          <w:szCs w:val="20"/>
          <w:lang w:val="en-US"/>
        </w:rPr>
        <w:t xml:space="preserve"> </w:t>
      </w:r>
      <w:r w:rsidRPr="001E06B3">
        <w:rPr>
          <w:rStyle w:val="hps"/>
          <w:sz w:val="20"/>
          <w:szCs w:val="20"/>
        </w:rPr>
        <w:t>экономика</w:t>
      </w:r>
      <w:r w:rsidRPr="001E06B3">
        <w:rPr>
          <w:sz w:val="20"/>
          <w:szCs w:val="20"/>
          <w:lang w:val="en-US"/>
        </w:rPr>
        <w:t>.</w:t>
      </w:r>
      <w:proofErr w:type="gramEnd"/>
    </w:p>
    <w:p w:rsidR="000641E1" w:rsidRPr="001E06B3" w:rsidRDefault="000641E1" w:rsidP="00063E78">
      <w:pPr>
        <w:spacing w:line="240" w:lineRule="auto"/>
        <w:ind w:firstLine="720"/>
        <w:jc w:val="both"/>
        <w:rPr>
          <w:sz w:val="20"/>
          <w:szCs w:val="20"/>
          <w:lang w:val="uk-UA"/>
        </w:rPr>
      </w:pPr>
      <w:r w:rsidRPr="001E06B3">
        <w:rPr>
          <w:rStyle w:val="hps"/>
          <w:i/>
          <w:sz w:val="20"/>
          <w:szCs w:val="20"/>
          <w:lang w:val="en-US"/>
        </w:rPr>
        <w:t>Abstract.</w:t>
      </w:r>
      <w:r w:rsidRPr="001E06B3">
        <w:rPr>
          <w:sz w:val="20"/>
          <w:szCs w:val="20"/>
          <w:lang w:val="en-US"/>
        </w:rPr>
        <w:t xml:space="preserve"> </w:t>
      </w:r>
      <w:r w:rsidRPr="001E06B3">
        <w:rPr>
          <w:rStyle w:val="hps"/>
          <w:sz w:val="20"/>
          <w:szCs w:val="20"/>
          <w:lang w:val="en-US"/>
        </w:rPr>
        <w:t>This article</w:t>
      </w:r>
      <w:r w:rsidRPr="001E06B3">
        <w:rPr>
          <w:sz w:val="20"/>
          <w:szCs w:val="20"/>
          <w:lang w:val="en-US"/>
        </w:rPr>
        <w:t xml:space="preserve"> </w:t>
      </w:r>
      <w:r w:rsidRPr="001E06B3">
        <w:rPr>
          <w:rStyle w:val="hps"/>
          <w:sz w:val="20"/>
          <w:szCs w:val="20"/>
          <w:lang w:val="en-US"/>
        </w:rPr>
        <w:t>analyzes the</w:t>
      </w:r>
      <w:r w:rsidRPr="001E06B3">
        <w:rPr>
          <w:sz w:val="20"/>
          <w:szCs w:val="20"/>
          <w:lang w:val="en-US"/>
        </w:rPr>
        <w:t xml:space="preserve"> </w:t>
      </w:r>
      <w:r w:rsidRPr="001E06B3">
        <w:rPr>
          <w:rStyle w:val="hps"/>
          <w:sz w:val="20"/>
          <w:szCs w:val="20"/>
          <w:lang w:val="en-US"/>
        </w:rPr>
        <w:t>dynamics of</w:t>
      </w:r>
      <w:r w:rsidRPr="001E06B3">
        <w:rPr>
          <w:sz w:val="20"/>
          <w:szCs w:val="20"/>
          <w:lang w:val="en-US"/>
        </w:rPr>
        <w:t xml:space="preserve"> </w:t>
      </w:r>
      <w:r w:rsidRPr="001E06B3">
        <w:rPr>
          <w:rStyle w:val="hps"/>
          <w:sz w:val="20"/>
          <w:szCs w:val="20"/>
          <w:lang w:val="en-US"/>
        </w:rPr>
        <w:t>FDI</w:t>
      </w:r>
      <w:r w:rsidRPr="001E06B3">
        <w:rPr>
          <w:sz w:val="20"/>
          <w:szCs w:val="20"/>
          <w:lang w:val="en-US"/>
        </w:rPr>
        <w:t xml:space="preserve"> </w:t>
      </w:r>
      <w:r w:rsidRPr="001E06B3">
        <w:rPr>
          <w:rStyle w:val="hps"/>
          <w:sz w:val="20"/>
          <w:szCs w:val="20"/>
          <w:lang w:val="en-US"/>
        </w:rPr>
        <w:t>and</w:t>
      </w:r>
      <w:r w:rsidRPr="001E06B3">
        <w:rPr>
          <w:sz w:val="20"/>
          <w:szCs w:val="20"/>
          <w:lang w:val="en-US"/>
        </w:rPr>
        <w:t xml:space="preserve"> </w:t>
      </w:r>
      <w:r w:rsidRPr="001E06B3">
        <w:rPr>
          <w:rStyle w:val="hps"/>
          <w:sz w:val="20"/>
          <w:szCs w:val="20"/>
          <w:lang w:val="en-US"/>
        </w:rPr>
        <w:t>TNCs</w:t>
      </w:r>
      <w:r w:rsidRPr="001E06B3">
        <w:rPr>
          <w:sz w:val="20"/>
          <w:szCs w:val="20"/>
          <w:lang w:val="en-US"/>
        </w:rPr>
        <w:t xml:space="preserve"> </w:t>
      </w:r>
      <w:r w:rsidRPr="001E06B3">
        <w:rPr>
          <w:rStyle w:val="hps"/>
          <w:sz w:val="20"/>
          <w:szCs w:val="20"/>
          <w:lang w:val="en-US"/>
        </w:rPr>
        <w:t>assess the</w:t>
      </w:r>
      <w:r w:rsidRPr="001E06B3">
        <w:rPr>
          <w:sz w:val="20"/>
          <w:szCs w:val="20"/>
          <w:lang w:val="en-US"/>
        </w:rPr>
        <w:t xml:space="preserve"> </w:t>
      </w:r>
      <w:r w:rsidRPr="001E06B3">
        <w:rPr>
          <w:rStyle w:val="hps"/>
          <w:sz w:val="20"/>
          <w:szCs w:val="20"/>
          <w:lang w:val="en-US"/>
        </w:rPr>
        <w:t>current state and</w:t>
      </w:r>
      <w:r w:rsidRPr="001E06B3">
        <w:rPr>
          <w:sz w:val="20"/>
          <w:szCs w:val="20"/>
          <w:lang w:val="en-US"/>
        </w:rPr>
        <w:t xml:space="preserve"> </w:t>
      </w:r>
      <w:r w:rsidRPr="001E06B3">
        <w:rPr>
          <w:rStyle w:val="hps"/>
          <w:sz w:val="20"/>
          <w:szCs w:val="20"/>
          <w:lang w:val="en-US"/>
        </w:rPr>
        <w:t>trends in</w:t>
      </w:r>
      <w:r w:rsidRPr="001E06B3">
        <w:rPr>
          <w:sz w:val="20"/>
          <w:szCs w:val="20"/>
          <w:lang w:val="en-US"/>
        </w:rPr>
        <w:t xml:space="preserve"> </w:t>
      </w:r>
      <w:r w:rsidRPr="001E06B3">
        <w:rPr>
          <w:rStyle w:val="hps"/>
          <w:sz w:val="20"/>
          <w:szCs w:val="20"/>
          <w:lang w:val="en-US"/>
        </w:rPr>
        <w:t>international</w:t>
      </w:r>
      <w:r w:rsidRPr="001E06B3">
        <w:rPr>
          <w:sz w:val="20"/>
          <w:szCs w:val="20"/>
          <w:lang w:val="en-US"/>
        </w:rPr>
        <w:t xml:space="preserve"> </w:t>
      </w:r>
      <w:r w:rsidRPr="001E06B3">
        <w:rPr>
          <w:rStyle w:val="hps"/>
          <w:sz w:val="20"/>
          <w:szCs w:val="20"/>
          <w:lang w:val="en-US"/>
        </w:rPr>
        <w:t>investment</w:t>
      </w:r>
      <w:r w:rsidRPr="001E06B3">
        <w:rPr>
          <w:sz w:val="20"/>
          <w:szCs w:val="20"/>
          <w:lang w:val="en-US"/>
        </w:rPr>
        <w:t xml:space="preserve"> </w:t>
      </w:r>
      <w:r w:rsidRPr="001E06B3">
        <w:rPr>
          <w:rStyle w:val="hps"/>
          <w:sz w:val="20"/>
          <w:szCs w:val="20"/>
          <w:lang w:val="en-US"/>
        </w:rPr>
        <w:t>corporations.</w:t>
      </w:r>
      <w:r w:rsidRPr="001E06B3">
        <w:rPr>
          <w:sz w:val="20"/>
          <w:szCs w:val="20"/>
          <w:lang w:val="en-US"/>
        </w:rPr>
        <w:t xml:space="preserve"> </w:t>
      </w:r>
      <w:r w:rsidRPr="001E06B3">
        <w:rPr>
          <w:rStyle w:val="hps"/>
          <w:sz w:val="20"/>
          <w:szCs w:val="20"/>
          <w:lang w:val="en-US"/>
        </w:rPr>
        <w:t>Also</w:t>
      </w:r>
      <w:r w:rsidRPr="001E06B3">
        <w:rPr>
          <w:sz w:val="20"/>
          <w:szCs w:val="20"/>
          <w:lang w:val="en-US"/>
        </w:rPr>
        <w:t xml:space="preserve"> </w:t>
      </w:r>
      <w:r w:rsidRPr="001E06B3">
        <w:rPr>
          <w:rStyle w:val="hps"/>
          <w:sz w:val="20"/>
          <w:szCs w:val="20"/>
          <w:lang w:val="en-US"/>
        </w:rPr>
        <w:t>highlights the main</w:t>
      </w:r>
      <w:r w:rsidRPr="001E06B3">
        <w:rPr>
          <w:sz w:val="20"/>
          <w:szCs w:val="20"/>
          <w:lang w:val="en-US"/>
        </w:rPr>
        <w:t xml:space="preserve"> </w:t>
      </w:r>
      <w:r w:rsidRPr="001E06B3">
        <w:rPr>
          <w:rStyle w:val="hps"/>
          <w:sz w:val="20"/>
          <w:szCs w:val="20"/>
          <w:lang w:val="en-US"/>
        </w:rPr>
        <w:t>trends in</w:t>
      </w:r>
      <w:r w:rsidRPr="001E06B3">
        <w:rPr>
          <w:sz w:val="20"/>
          <w:szCs w:val="20"/>
          <w:lang w:val="en-US"/>
        </w:rPr>
        <w:t xml:space="preserve"> </w:t>
      </w:r>
      <w:r w:rsidRPr="001E06B3">
        <w:rPr>
          <w:rStyle w:val="hps"/>
          <w:sz w:val="20"/>
          <w:szCs w:val="20"/>
          <w:lang w:val="en-US"/>
        </w:rPr>
        <w:t>global</w:t>
      </w:r>
      <w:r w:rsidRPr="001E06B3">
        <w:rPr>
          <w:sz w:val="20"/>
          <w:szCs w:val="20"/>
          <w:lang w:val="en-US"/>
        </w:rPr>
        <w:t xml:space="preserve"> </w:t>
      </w:r>
      <w:r w:rsidRPr="001E06B3">
        <w:rPr>
          <w:rStyle w:val="hps"/>
          <w:sz w:val="20"/>
          <w:szCs w:val="20"/>
          <w:lang w:val="en-US"/>
        </w:rPr>
        <w:t>FDI inflows</w:t>
      </w:r>
      <w:r w:rsidRPr="001E06B3">
        <w:rPr>
          <w:sz w:val="20"/>
          <w:szCs w:val="20"/>
          <w:lang w:val="en-US"/>
        </w:rPr>
        <w:t xml:space="preserve"> </w:t>
      </w:r>
      <w:r w:rsidRPr="001E06B3">
        <w:rPr>
          <w:rStyle w:val="hps"/>
          <w:sz w:val="20"/>
          <w:szCs w:val="20"/>
          <w:lang w:val="en-US"/>
        </w:rPr>
        <w:t>in 2012.</w:t>
      </w:r>
    </w:p>
    <w:p w:rsidR="000641E1" w:rsidRPr="001E06B3" w:rsidRDefault="000641E1" w:rsidP="00063E78">
      <w:pPr>
        <w:spacing w:line="240" w:lineRule="auto"/>
        <w:ind w:firstLine="720"/>
        <w:jc w:val="both"/>
        <w:rPr>
          <w:sz w:val="20"/>
          <w:szCs w:val="20"/>
          <w:lang w:val="uk-UA"/>
        </w:rPr>
      </w:pPr>
      <w:r w:rsidRPr="001E06B3">
        <w:rPr>
          <w:rStyle w:val="hps"/>
          <w:i/>
          <w:sz w:val="20"/>
          <w:szCs w:val="20"/>
          <w:lang w:val="en-US"/>
        </w:rPr>
        <w:t>Key</w:t>
      </w:r>
      <w:r w:rsidRPr="001E06B3">
        <w:rPr>
          <w:rStyle w:val="hps"/>
          <w:i/>
          <w:sz w:val="20"/>
          <w:szCs w:val="20"/>
          <w:lang w:val="uk-UA"/>
        </w:rPr>
        <w:t xml:space="preserve"> </w:t>
      </w:r>
      <w:r w:rsidRPr="001E06B3">
        <w:rPr>
          <w:rStyle w:val="hps"/>
          <w:i/>
          <w:sz w:val="20"/>
          <w:szCs w:val="20"/>
          <w:lang w:val="en-US"/>
        </w:rPr>
        <w:t>words:</w:t>
      </w:r>
      <w:r w:rsidRPr="001E06B3">
        <w:rPr>
          <w:sz w:val="20"/>
          <w:szCs w:val="20"/>
          <w:lang w:val="en-US"/>
        </w:rPr>
        <w:t xml:space="preserve"> </w:t>
      </w:r>
      <w:r w:rsidRPr="001E06B3">
        <w:rPr>
          <w:rStyle w:val="hps"/>
          <w:sz w:val="20"/>
          <w:szCs w:val="20"/>
          <w:lang w:val="en-US"/>
        </w:rPr>
        <w:t>transnational corporations (</w:t>
      </w:r>
      <w:r w:rsidRPr="001E06B3">
        <w:rPr>
          <w:sz w:val="20"/>
          <w:szCs w:val="20"/>
          <w:lang w:val="en-US"/>
        </w:rPr>
        <w:t xml:space="preserve">TNCs), the global </w:t>
      </w:r>
      <w:r w:rsidRPr="001E06B3">
        <w:rPr>
          <w:rStyle w:val="hps"/>
          <w:sz w:val="20"/>
          <w:szCs w:val="20"/>
          <w:lang w:val="en-US"/>
        </w:rPr>
        <w:t>flows of</w:t>
      </w:r>
      <w:r w:rsidRPr="001E06B3">
        <w:rPr>
          <w:sz w:val="20"/>
          <w:szCs w:val="20"/>
          <w:lang w:val="en-US"/>
        </w:rPr>
        <w:t xml:space="preserve"> </w:t>
      </w:r>
      <w:r w:rsidRPr="001E06B3">
        <w:rPr>
          <w:rStyle w:val="hps"/>
          <w:sz w:val="20"/>
          <w:szCs w:val="20"/>
          <w:lang w:val="en-US"/>
        </w:rPr>
        <w:t>foreign direct investment (</w:t>
      </w:r>
      <w:r w:rsidRPr="001E06B3">
        <w:rPr>
          <w:sz w:val="20"/>
          <w:szCs w:val="20"/>
          <w:lang w:val="en-US"/>
        </w:rPr>
        <w:t xml:space="preserve">FDI) </w:t>
      </w:r>
      <w:r w:rsidRPr="001E06B3">
        <w:rPr>
          <w:rStyle w:val="hps"/>
          <w:sz w:val="20"/>
          <w:szCs w:val="20"/>
          <w:lang w:val="en-US"/>
        </w:rPr>
        <w:t>investor countries</w:t>
      </w:r>
      <w:r w:rsidRPr="001E06B3">
        <w:rPr>
          <w:sz w:val="20"/>
          <w:szCs w:val="20"/>
          <w:lang w:val="en-US"/>
        </w:rPr>
        <w:t xml:space="preserve">, globalization, investors </w:t>
      </w:r>
      <w:r w:rsidRPr="001E06B3">
        <w:rPr>
          <w:rStyle w:val="hps"/>
          <w:sz w:val="20"/>
          <w:szCs w:val="20"/>
          <w:lang w:val="en-US"/>
        </w:rPr>
        <w:t>to attract</w:t>
      </w:r>
      <w:r w:rsidRPr="001E06B3">
        <w:rPr>
          <w:sz w:val="20"/>
          <w:szCs w:val="20"/>
          <w:lang w:val="en-US"/>
        </w:rPr>
        <w:t xml:space="preserve"> </w:t>
      </w:r>
      <w:r w:rsidRPr="001E06B3">
        <w:rPr>
          <w:rStyle w:val="hps"/>
          <w:sz w:val="20"/>
          <w:szCs w:val="20"/>
          <w:lang w:val="en-US"/>
        </w:rPr>
        <w:t>FDI</w:t>
      </w:r>
      <w:r w:rsidRPr="001E06B3">
        <w:rPr>
          <w:sz w:val="20"/>
          <w:szCs w:val="20"/>
          <w:lang w:val="en-US"/>
        </w:rPr>
        <w:t>, the global economy.</w:t>
      </w:r>
    </w:p>
    <w:p w:rsidR="00E439F2" w:rsidRPr="001E06B3" w:rsidRDefault="00E439F2" w:rsidP="00063E78">
      <w:pPr>
        <w:spacing w:line="240" w:lineRule="auto"/>
        <w:ind w:firstLine="720"/>
        <w:jc w:val="both"/>
        <w:rPr>
          <w:sz w:val="20"/>
          <w:szCs w:val="20"/>
          <w:lang w:val="uk-UA"/>
        </w:rPr>
      </w:pPr>
    </w:p>
    <w:p w:rsidR="009264D2" w:rsidRPr="001E06B3" w:rsidRDefault="000641E1" w:rsidP="00063E78">
      <w:pPr>
        <w:spacing w:line="240" w:lineRule="auto"/>
        <w:ind w:firstLine="720"/>
        <w:jc w:val="both"/>
        <w:rPr>
          <w:sz w:val="20"/>
          <w:szCs w:val="20"/>
          <w:lang w:val="uk-UA"/>
        </w:rPr>
      </w:pPr>
      <w:r w:rsidRPr="001E06B3">
        <w:rPr>
          <w:i/>
          <w:sz w:val="20"/>
          <w:szCs w:val="20"/>
          <w:lang w:val="uk-UA"/>
        </w:rPr>
        <w:t xml:space="preserve">Постановка проблеми. </w:t>
      </w:r>
      <w:r w:rsidR="00ED7727" w:rsidRPr="001E06B3">
        <w:rPr>
          <w:sz w:val="20"/>
          <w:szCs w:val="20"/>
          <w:lang w:val="uk-UA"/>
        </w:rPr>
        <w:t>Інтенсивна глобалізація виробничої та інвестиційної діяльності, яка спостерігається н</w:t>
      </w:r>
      <w:r w:rsidR="009264D2" w:rsidRPr="001E06B3">
        <w:rPr>
          <w:sz w:val="20"/>
          <w:szCs w:val="20"/>
          <w:lang w:val="uk-UA"/>
        </w:rPr>
        <w:t xml:space="preserve">а рубежі ХХ – </w:t>
      </w:r>
      <w:r w:rsidR="009264D2" w:rsidRPr="001E06B3">
        <w:rPr>
          <w:sz w:val="20"/>
          <w:szCs w:val="20"/>
          <w:lang w:val="en-US"/>
        </w:rPr>
        <w:t>XXI</w:t>
      </w:r>
      <w:r w:rsidR="009264D2" w:rsidRPr="001E06B3">
        <w:rPr>
          <w:sz w:val="20"/>
          <w:szCs w:val="20"/>
          <w:lang w:val="uk-UA"/>
        </w:rPr>
        <w:t xml:space="preserve"> століть у світовій економіці, призводить до поступового об’єднання історично відособлених і різних економік у єдине ринкове господарство. У ході цього процесу відбувається утворення нової економічної системи, у якій бар’єри на шляху міжнародної інвестиційної, виробничої і торговельної діяльності або цілком відсутні, або зведені до мінімуму. </w:t>
      </w:r>
    </w:p>
    <w:p w:rsidR="007C11AA" w:rsidRPr="001E06B3" w:rsidRDefault="004966A5" w:rsidP="005B50D0">
      <w:pPr>
        <w:spacing w:line="240" w:lineRule="auto"/>
        <w:ind w:firstLine="709"/>
        <w:jc w:val="both"/>
        <w:rPr>
          <w:sz w:val="20"/>
          <w:szCs w:val="20"/>
          <w:lang w:val="uk-UA"/>
        </w:rPr>
      </w:pPr>
      <w:r w:rsidRPr="001E06B3">
        <w:rPr>
          <w:sz w:val="20"/>
          <w:szCs w:val="20"/>
          <w:lang w:val="uk-UA"/>
        </w:rPr>
        <w:t>Головною рушійною силою процесу прискореної глобалізації міжнародних економічних відносин світової економіки виступають транснаціональні корпорації (ТНК), які втілюють у собі всі форми міжнародного сучасного бізнесу.  На сьогоднішній день, деякі провідні ТНК визначають напрями розвитку міжнародної економіки та вкладають значний внесок у зміцненні економічних господарських зв’язків у світових масштабах.</w:t>
      </w:r>
      <w:r w:rsidR="007C11AA" w:rsidRPr="001E06B3">
        <w:rPr>
          <w:sz w:val="20"/>
          <w:szCs w:val="20"/>
          <w:lang w:val="uk-UA"/>
        </w:rPr>
        <w:t xml:space="preserve"> </w:t>
      </w:r>
      <w:r w:rsidR="00BE065B" w:rsidRPr="001E06B3">
        <w:rPr>
          <w:sz w:val="20"/>
          <w:szCs w:val="20"/>
          <w:lang w:val="uk-UA"/>
        </w:rPr>
        <w:t>На ТНК приходиться 50% світово</w:t>
      </w:r>
      <w:r w:rsidR="00BE065B" w:rsidRPr="001E06B3">
        <w:rPr>
          <w:rFonts w:eastAsia="Calibri"/>
          <w:sz w:val="20"/>
          <w:szCs w:val="20"/>
          <w:lang w:val="uk-UA"/>
        </w:rPr>
        <w:t>ї</w:t>
      </w:r>
      <w:r w:rsidR="00BE065B" w:rsidRPr="001E06B3">
        <w:rPr>
          <w:sz w:val="20"/>
          <w:szCs w:val="20"/>
          <w:lang w:val="uk-UA"/>
        </w:rPr>
        <w:t xml:space="preserve"> торгівлі та 67% зовнішньо</w:t>
      </w:r>
      <w:r w:rsidR="00BE065B" w:rsidRPr="001E06B3">
        <w:rPr>
          <w:rFonts w:eastAsia="Calibri"/>
          <w:sz w:val="20"/>
          <w:szCs w:val="20"/>
          <w:lang w:val="uk-UA"/>
        </w:rPr>
        <w:t>ї</w:t>
      </w:r>
      <w:r w:rsidR="00BE065B" w:rsidRPr="001E06B3">
        <w:rPr>
          <w:sz w:val="20"/>
          <w:szCs w:val="20"/>
          <w:lang w:val="uk-UA"/>
        </w:rPr>
        <w:t xml:space="preserve"> торгівлі, а також належить 80% патентів та ліцензій</w:t>
      </w:r>
      <w:r w:rsidR="00FB5C5C" w:rsidRPr="001E06B3">
        <w:rPr>
          <w:sz w:val="20"/>
          <w:szCs w:val="20"/>
          <w:lang w:val="uk-UA"/>
        </w:rPr>
        <w:t xml:space="preserve"> [7]</w:t>
      </w:r>
      <w:r w:rsidR="00BE065B" w:rsidRPr="001E06B3">
        <w:rPr>
          <w:sz w:val="20"/>
          <w:szCs w:val="20"/>
          <w:lang w:val="uk-UA"/>
        </w:rPr>
        <w:t xml:space="preserve">. </w:t>
      </w:r>
    </w:p>
    <w:p w:rsidR="004966A5" w:rsidRPr="001E06B3" w:rsidRDefault="004966A5" w:rsidP="004966A5">
      <w:pPr>
        <w:spacing w:line="240" w:lineRule="auto"/>
        <w:ind w:firstLine="709"/>
        <w:jc w:val="both"/>
        <w:rPr>
          <w:sz w:val="20"/>
          <w:szCs w:val="20"/>
          <w:lang w:val="uk-UA"/>
        </w:rPr>
      </w:pPr>
      <w:r w:rsidRPr="001E06B3">
        <w:rPr>
          <w:sz w:val="20"/>
          <w:szCs w:val="20"/>
          <w:lang w:val="uk-UA"/>
        </w:rPr>
        <w:t>Основним інструментом діяльності ТНК є прямі іноземні інвестиції</w:t>
      </w:r>
      <w:r w:rsidR="005B50D0">
        <w:rPr>
          <w:sz w:val="20"/>
          <w:szCs w:val="20"/>
          <w:lang w:val="uk-UA"/>
        </w:rPr>
        <w:t xml:space="preserve"> (ПІІ)</w:t>
      </w:r>
      <w:r w:rsidR="00F62E95" w:rsidRPr="001E06B3">
        <w:rPr>
          <w:sz w:val="20"/>
          <w:szCs w:val="20"/>
          <w:lang w:val="uk-UA"/>
        </w:rPr>
        <w:t xml:space="preserve">, які </w:t>
      </w:r>
      <w:r w:rsidRPr="001E06B3">
        <w:rPr>
          <w:sz w:val="20"/>
          <w:szCs w:val="20"/>
          <w:lang w:val="uk-UA"/>
        </w:rPr>
        <w:t>є формою реалізації транснаціональної діяльності фірми, а прийняття компанією рішення про пряме іноземне інвестування залежить від того, чи зможуть переваги інвестування компенсувати недоліки, що супроводжують перенесення виробництва за кордон.</w:t>
      </w:r>
    </w:p>
    <w:p w:rsidR="009264D2" w:rsidRPr="001E06B3" w:rsidRDefault="00E332F8" w:rsidP="00C252FD">
      <w:pPr>
        <w:spacing w:line="240" w:lineRule="auto"/>
        <w:ind w:firstLine="709"/>
        <w:jc w:val="both"/>
        <w:rPr>
          <w:sz w:val="20"/>
          <w:szCs w:val="20"/>
          <w:lang w:val="uk-UA"/>
        </w:rPr>
      </w:pPr>
      <w:r w:rsidRPr="001E06B3">
        <w:rPr>
          <w:i/>
          <w:sz w:val="20"/>
          <w:szCs w:val="20"/>
          <w:lang w:val="uk-UA"/>
        </w:rPr>
        <w:t xml:space="preserve">Аналіз останніх досліджень і публікацій. </w:t>
      </w:r>
      <w:r w:rsidR="004966A5" w:rsidRPr="001E06B3">
        <w:rPr>
          <w:sz w:val="20"/>
          <w:szCs w:val="20"/>
          <w:lang w:val="uk-UA"/>
        </w:rPr>
        <w:t>Значний внесок</w:t>
      </w:r>
      <w:r w:rsidR="009264D2" w:rsidRPr="001E06B3">
        <w:rPr>
          <w:sz w:val="20"/>
          <w:szCs w:val="20"/>
          <w:lang w:val="uk-UA"/>
        </w:rPr>
        <w:t xml:space="preserve"> у дослідження різних аспектів глобалізації світової економіки та діяльності транснаціональних корпорацій стали праці вітчизняних вчених: В.П. Степаненка, Ю.М. Пахомова,  А.А. </w:t>
      </w:r>
      <w:proofErr w:type="spellStart"/>
      <w:r w:rsidR="009264D2" w:rsidRPr="001E06B3">
        <w:rPr>
          <w:sz w:val="20"/>
          <w:szCs w:val="20"/>
          <w:lang w:val="uk-UA"/>
        </w:rPr>
        <w:t>Чухна</w:t>
      </w:r>
      <w:proofErr w:type="spellEnd"/>
      <w:r w:rsidR="009264D2" w:rsidRPr="001E06B3">
        <w:rPr>
          <w:sz w:val="20"/>
          <w:szCs w:val="20"/>
          <w:lang w:val="uk-UA"/>
        </w:rPr>
        <w:t xml:space="preserve">, А.С. Філіпенка, О.В. </w:t>
      </w:r>
      <w:proofErr w:type="spellStart"/>
      <w:r w:rsidR="009264D2" w:rsidRPr="001E06B3">
        <w:rPr>
          <w:sz w:val="20"/>
          <w:szCs w:val="20"/>
          <w:lang w:val="uk-UA"/>
        </w:rPr>
        <w:t>Плотнікова</w:t>
      </w:r>
      <w:proofErr w:type="spellEnd"/>
      <w:r w:rsidR="009264D2" w:rsidRPr="001E06B3">
        <w:rPr>
          <w:sz w:val="20"/>
          <w:szCs w:val="20"/>
          <w:lang w:val="uk-UA"/>
        </w:rPr>
        <w:t xml:space="preserve">, В.Є. Новицького, Є.Г. Панченка, В.С. </w:t>
      </w:r>
      <w:proofErr w:type="spellStart"/>
      <w:r w:rsidR="009264D2" w:rsidRPr="001E06B3">
        <w:rPr>
          <w:sz w:val="20"/>
          <w:szCs w:val="20"/>
          <w:lang w:val="uk-UA"/>
        </w:rPr>
        <w:t>Будкіна</w:t>
      </w:r>
      <w:proofErr w:type="spellEnd"/>
      <w:r w:rsidR="009264D2" w:rsidRPr="001E06B3">
        <w:rPr>
          <w:sz w:val="20"/>
          <w:szCs w:val="20"/>
          <w:lang w:val="uk-UA"/>
        </w:rPr>
        <w:t xml:space="preserve">, В.В. </w:t>
      </w:r>
      <w:proofErr w:type="spellStart"/>
      <w:r w:rsidR="009264D2" w:rsidRPr="001E06B3">
        <w:rPr>
          <w:sz w:val="20"/>
          <w:szCs w:val="20"/>
          <w:lang w:val="uk-UA"/>
        </w:rPr>
        <w:t>Рокочої</w:t>
      </w:r>
      <w:proofErr w:type="spellEnd"/>
      <w:r w:rsidR="009264D2" w:rsidRPr="001E06B3">
        <w:rPr>
          <w:sz w:val="20"/>
          <w:szCs w:val="20"/>
          <w:lang w:val="uk-UA"/>
        </w:rPr>
        <w:t xml:space="preserve">, О.І. Рогача, О.Г. Білоруса, Д.Г. Лук’яненка, І.В. </w:t>
      </w:r>
      <w:proofErr w:type="spellStart"/>
      <w:r w:rsidR="009264D2" w:rsidRPr="001E06B3">
        <w:rPr>
          <w:sz w:val="20"/>
          <w:szCs w:val="20"/>
          <w:lang w:val="uk-UA"/>
        </w:rPr>
        <w:t>Бураковського</w:t>
      </w:r>
      <w:proofErr w:type="spellEnd"/>
      <w:r w:rsidR="009264D2" w:rsidRPr="001E06B3">
        <w:rPr>
          <w:sz w:val="20"/>
          <w:szCs w:val="20"/>
          <w:lang w:val="uk-UA"/>
        </w:rPr>
        <w:t xml:space="preserve">, М.А. </w:t>
      </w:r>
      <w:proofErr w:type="spellStart"/>
      <w:r w:rsidR="009264D2" w:rsidRPr="001E06B3">
        <w:rPr>
          <w:sz w:val="20"/>
          <w:szCs w:val="20"/>
          <w:lang w:val="uk-UA"/>
        </w:rPr>
        <w:t>Дудченка</w:t>
      </w:r>
      <w:proofErr w:type="spellEnd"/>
      <w:r w:rsidR="009264D2" w:rsidRPr="001E06B3">
        <w:rPr>
          <w:sz w:val="20"/>
          <w:szCs w:val="20"/>
          <w:lang w:val="uk-UA"/>
        </w:rPr>
        <w:t xml:space="preserve">, А.П. Румянцева та російських науковців – М.М. Богуславського, Л.Д. </w:t>
      </w:r>
      <w:proofErr w:type="spellStart"/>
      <w:r w:rsidR="009264D2" w:rsidRPr="001E06B3">
        <w:rPr>
          <w:sz w:val="20"/>
          <w:szCs w:val="20"/>
          <w:lang w:val="uk-UA"/>
        </w:rPr>
        <w:t>Градобитової</w:t>
      </w:r>
      <w:proofErr w:type="spellEnd"/>
      <w:r w:rsidR="009264D2" w:rsidRPr="001E06B3">
        <w:rPr>
          <w:sz w:val="20"/>
          <w:szCs w:val="20"/>
          <w:lang w:val="uk-UA"/>
        </w:rPr>
        <w:t xml:space="preserve">, Є.В. Ленського, О.О. Миронова, С.Т. Пашина, А.О. </w:t>
      </w:r>
      <w:proofErr w:type="spellStart"/>
      <w:r w:rsidR="009264D2" w:rsidRPr="001E06B3">
        <w:rPr>
          <w:sz w:val="20"/>
          <w:szCs w:val="20"/>
          <w:lang w:val="uk-UA"/>
        </w:rPr>
        <w:t>Стриженко</w:t>
      </w:r>
      <w:proofErr w:type="spellEnd"/>
      <w:r w:rsidR="009264D2" w:rsidRPr="001E06B3">
        <w:rPr>
          <w:sz w:val="20"/>
          <w:szCs w:val="20"/>
          <w:lang w:val="uk-UA"/>
        </w:rPr>
        <w:t xml:space="preserve">, Г.Г. </w:t>
      </w:r>
      <w:proofErr w:type="spellStart"/>
      <w:r w:rsidR="009264D2" w:rsidRPr="001E06B3">
        <w:rPr>
          <w:sz w:val="20"/>
          <w:szCs w:val="20"/>
          <w:lang w:val="uk-UA"/>
        </w:rPr>
        <w:t>Чибрикова</w:t>
      </w:r>
      <w:proofErr w:type="spellEnd"/>
      <w:r w:rsidR="009264D2" w:rsidRPr="001E06B3">
        <w:rPr>
          <w:sz w:val="20"/>
          <w:szCs w:val="20"/>
          <w:lang w:val="uk-UA"/>
        </w:rPr>
        <w:t xml:space="preserve">, В.Є. </w:t>
      </w:r>
      <w:proofErr w:type="spellStart"/>
      <w:r w:rsidR="009264D2" w:rsidRPr="001E06B3">
        <w:rPr>
          <w:sz w:val="20"/>
          <w:szCs w:val="20"/>
          <w:lang w:val="uk-UA"/>
        </w:rPr>
        <w:t>Черкасова</w:t>
      </w:r>
      <w:proofErr w:type="spellEnd"/>
      <w:r w:rsidR="009264D2" w:rsidRPr="001E06B3">
        <w:rPr>
          <w:sz w:val="20"/>
          <w:szCs w:val="20"/>
          <w:lang w:val="uk-UA"/>
        </w:rPr>
        <w:t xml:space="preserve">, В.А. </w:t>
      </w:r>
      <w:proofErr w:type="spellStart"/>
      <w:r w:rsidR="009264D2" w:rsidRPr="001E06B3">
        <w:rPr>
          <w:sz w:val="20"/>
          <w:szCs w:val="20"/>
          <w:lang w:val="uk-UA"/>
        </w:rPr>
        <w:t>Цветкова</w:t>
      </w:r>
      <w:proofErr w:type="spellEnd"/>
      <w:r w:rsidR="009264D2" w:rsidRPr="001E06B3">
        <w:rPr>
          <w:sz w:val="20"/>
          <w:szCs w:val="20"/>
          <w:lang w:val="uk-UA"/>
        </w:rPr>
        <w:t>.</w:t>
      </w:r>
    </w:p>
    <w:p w:rsidR="009264D2" w:rsidRPr="001E06B3" w:rsidRDefault="009264D2" w:rsidP="00C252FD">
      <w:pPr>
        <w:spacing w:line="240" w:lineRule="auto"/>
        <w:ind w:firstLine="709"/>
        <w:jc w:val="both"/>
        <w:rPr>
          <w:sz w:val="20"/>
          <w:szCs w:val="20"/>
        </w:rPr>
      </w:pPr>
      <w:proofErr w:type="spellStart"/>
      <w:r w:rsidRPr="001E06B3">
        <w:rPr>
          <w:sz w:val="20"/>
          <w:szCs w:val="20"/>
        </w:rPr>
        <w:t>Серед</w:t>
      </w:r>
      <w:proofErr w:type="spellEnd"/>
      <w:r w:rsidRPr="001E06B3">
        <w:rPr>
          <w:sz w:val="20"/>
          <w:szCs w:val="20"/>
        </w:rPr>
        <w:t xml:space="preserve"> </w:t>
      </w:r>
      <w:proofErr w:type="spellStart"/>
      <w:r w:rsidRPr="001E06B3">
        <w:rPr>
          <w:sz w:val="20"/>
          <w:szCs w:val="20"/>
        </w:rPr>
        <w:t>авторів</w:t>
      </w:r>
      <w:proofErr w:type="spellEnd"/>
      <w:r w:rsidRPr="001E06B3">
        <w:rPr>
          <w:sz w:val="20"/>
          <w:szCs w:val="20"/>
        </w:rPr>
        <w:t xml:space="preserve"> Заходу</w:t>
      </w:r>
      <w:r w:rsidR="00ED7727" w:rsidRPr="001E06B3">
        <w:rPr>
          <w:sz w:val="20"/>
          <w:szCs w:val="20"/>
          <w:lang w:val="uk-UA"/>
        </w:rPr>
        <w:t xml:space="preserve"> </w:t>
      </w:r>
      <w:proofErr w:type="spellStart"/>
      <w:r w:rsidRPr="001E06B3">
        <w:rPr>
          <w:sz w:val="20"/>
          <w:szCs w:val="20"/>
        </w:rPr>
        <w:t>варто</w:t>
      </w:r>
      <w:proofErr w:type="spellEnd"/>
      <w:r w:rsidRPr="001E06B3">
        <w:rPr>
          <w:sz w:val="20"/>
          <w:szCs w:val="20"/>
        </w:rPr>
        <w:t xml:space="preserve"> </w:t>
      </w:r>
      <w:proofErr w:type="spellStart"/>
      <w:r w:rsidRPr="001E06B3">
        <w:rPr>
          <w:sz w:val="20"/>
          <w:szCs w:val="20"/>
        </w:rPr>
        <w:t>відзначити</w:t>
      </w:r>
      <w:proofErr w:type="spellEnd"/>
      <w:r w:rsidRPr="001E06B3">
        <w:rPr>
          <w:sz w:val="20"/>
          <w:szCs w:val="20"/>
        </w:rPr>
        <w:t xml:space="preserve"> </w:t>
      </w:r>
      <w:proofErr w:type="spellStart"/>
      <w:r w:rsidRPr="001E06B3">
        <w:rPr>
          <w:sz w:val="20"/>
          <w:szCs w:val="20"/>
        </w:rPr>
        <w:t>роботи</w:t>
      </w:r>
      <w:proofErr w:type="spellEnd"/>
      <w:r w:rsidRPr="001E06B3">
        <w:rPr>
          <w:sz w:val="20"/>
          <w:szCs w:val="20"/>
        </w:rPr>
        <w:t xml:space="preserve"> таких </w:t>
      </w:r>
      <w:proofErr w:type="spellStart"/>
      <w:proofErr w:type="gramStart"/>
      <w:r w:rsidRPr="001E06B3">
        <w:rPr>
          <w:sz w:val="20"/>
          <w:szCs w:val="20"/>
        </w:rPr>
        <w:t>досл</w:t>
      </w:r>
      <w:proofErr w:type="gramEnd"/>
      <w:r w:rsidRPr="001E06B3">
        <w:rPr>
          <w:sz w:val="20"/>
          <w:szCs w:val="20"/>
        </w:rPr>
        <w:t>ідників</w:t>
      </w:r>
      <w:proofErr w:type="spellEnd"/>
      <w:r w:rsidRPr="001E06B3">
        <w:rPr>
          <w:sz w:val="20"/>
          <w:szCs w:val="20"/>
        </w:rPr>
        <w:t xml:space="preserve"> як: М. </w:t>
      </w:r>
      <w:proofErr w:type="spellStart"/>
      <w:r w:rsidRPr="001E06B3">
        <w:rPr>
          <w:sz w:val="20"/>
          <w:szCs w:val="20"/>
        </w:rPr>
        <w:t>Аокі</w:t>
      </w:r>
      <w:proofErr w:type="spellEnd"/>
      <w:r w:rsidRPr="001E06B3">
        <w:rPr>
          <w:sz w:val="20"/>
          <w:szCs w:val="20"/>
        </w:rPr>
        <w:t xml:space="preserve">, Дж. </w:t>
      </w:r>
      <w:proofErr w:type="spellStart"/>
      <w:r w:rsidRPr="001E06B3">
        <w:rPr>
          <w:sz w:val="20"/>
          <w:szCs w:val="20"/>
        </w:rPr>
        <w:t>Даннінг</w:t>
      </w:r>
      <w:proofErr w:type="spellEnd"/>
      <w:r w:rsidRPr="001E06B3">
        <w:rPr>
          <w:sz w:val="20"/>
          <w:szCs w:val="20"/>
        </w:rPr>
        <w:t xml:space="preserve">, Р. </w:t>
      </w:r>
      <w:proofErr w:type="spellStart"/>
      <w:r w:rsidRPr="001E06B3">
        <w:rPr>
          <w:sz w:val="20"/>
          <w:szCs w:val="20"/>
        </w:rPr>
        <w:t>Вернон</w:t>
      </w:r>
      <w:proofErr w:type="spellEnd"/>
      <w:r w:rsidRPr="001E06B3">
        <w:rPr>
          <w:sz w:val="20"/>
          <w:szCs w:val="20"/>
        </w:rPr>
        <w:t xml:space="preserve">, О. </w:t>
      </w:r>
      <w:proofErr w:type="spellStart"/>
      <w:r w:rsidRPr="001E06B3">
        <w:rPr>
          <w:sz w:val="20"/>
          <w:szCs w:val="20"/>
        </w:rPr>
        <w:t>Вільямсон</w:t>
      </w:r>
      <w:proofErr w:type="spellEnd"/>
      <w:r w:rsidRPr="001E06B3">
        <w:rPr>
          <w:sz w:val="20"/>
          <w:szCs w:val="20"/>
        </w:rPr>
        <w:t xml:space="preserve">, Е. </w:t>
      </w:r>
      <w:proofErr w:type="spellStart"/>
      <w:r w:rsidRPr="001E06B3">
        <w:rPr>
          <w:sz w:val="20"/>
          <w:szCs w:val="20"/>
        </w:rPr>
        <w:t>Грехем</w:t>
      </w:r>
      <w:proofErr w:type="spellEnd"/>
      <w:r w:rsidRPr="001E06B3">
        <w:rPr>
          <w:sz w:val="20"/>
          <w:szCs w:val="20"/>
        </w:rPr>
        <w:t xml:space="preserve">, </w:t>
      </w:r>
      <w:proofErr w:type="spellStart"/>
      <w:r w:rsidRPr="001E06B3">
        <w:rPr>
          <w:sz w:val="20"/>
          <w:szCs w:val="20"/>
        </w:rPr>
        <w:t>Р.Коуз</w:t>
      </w:r>
      <w:proofErr w:type="spellEnd"/>
      <w:r w:rsidRPr="001E06B3">
        <w:rPr>
          <w:sz w:val="20"/>
          <w:szCs w:val="20"/>
        </w:rPr>
        <w:t xml:space="preserve">, П. </w:t>
      </w:r>
      <w:proofErr w:type="spellStart"/>
      <w:r w:rsidRPr="001E06B3">
        <w:rPr>
          <w:sz w:val="20"/>
          <w:szCs w:val="20"/>
        </w:rPr>
        <w:t>Маклінський</w:t>
      </w:r>
      <w:proofErr w:type="spellEnd"/>
      <w:r w:rsidRPr="001E06B3">
        <w:rPr>
          <w:sz w:val="20"/>
          <w:szCs w:val="20"/>
        </w:rPr>
        <w:t xml:space="preserve">, Е. </w:t>
      </w:r>
      <w:proofErr w:type="spellStart"/>
      <w:r w:rsidRPr="001E06B3">
        <w:rPr>
          <w:sz w:val="20"/>
          <w:szCs w:val="20"/>
        </w:rPr>
        <w:t>Пенроуз</w:t>
      </w:r>
      <w:proofErr w:type="spellEnd"/>
      <w:r w:rsidRPr="001E06B3">
        <w:rPr>
          <w:sz w:val="20"/>
          <w:szCs w:val="20"/>
        </w:rPr>
        <w:t xml:space="preserve">, Г. </w:t>
      </w:r>
      <w:proofErr w:type="spellStart"/>
      <w:r w:rsidRPr="001E06B3">
        <w:rPr>
          <w:sz w:val="20"/>
          <w:szCs w:val="20"/>
        </w:rPr>
        <w:t>Перлмуттер</w:t>
      </w:r>
      <w:proofErr w:type="spellEnd"/>
      <w:r w:rsidRPr="001E06B3">
        <w:rPr>
          <w:sz w:val="20"/>
          <w:szCs w:val="20"/>
        </w:rPr>
        <w:t xml:space="preserve">,  І. Самсон, Р. </w:t>
      </w:r>
      <w:proofErr w:type="spellStart"/>
      <w:r w:rsidRPr="001E06B3">
        <w:rPr>
          <w:sz w:val="20"/>
          <w:szCs w:val="20"/>
        </w:rPr>
        <w:t>Стобаух</w:t>
      </w:r>
      <w:proofErr w:type="spellEnd"/>
      <w:r w:rsidRPr="001E06B3">
        <w:rPr>
          <w:sz w:val="20"/>
          <w:szCs w:val="20"/>
        </w:rPr>
        <w:t xml:space="preserve">, С. </w:t>
      </w:r>
      <w:proofErr w:type="spellStart"/>
      <w:r w:rsidRPr="001E06B3">
        <w:rPr>
          <w:sz w:val="20"/>
          <w:szCs w:val="20"/>
        </w:rPr>
        <w:t>Хаймер</w:t>
      </w:r>
      <w:proofErr w:type="spellEnd"/>
      <w:r w:rsidRPr="001E06B3">
        <w:rPr>
          <w:sz w:val="20"/>
          <w:szCs w:val="20"/>
        </w:rPr>
        <w:t xml:space="preserve">, П. </w:t>
      </w:r>
      <w:proofErr w:type="spellStart"/>
      <w:r w:rsidRPr="001E06B3">
        <w:rPr>
          <w:sz w:val="20"/>
          <w:szCs w:val="20"/>
        </w:rPr>
        <w:t>Фішер</w:t>
      </w:r>
      <w:proofErr w:type="spellEnd"/>
      <w:r w:rsidRPr="001E06B3">
        <w:rPr>
          <w:sz w:val="20"/>
          <w:szCs w:val="20"/>
        </w:rPr>
        <w:t>.</w:t>
      </w:r>
    </w:p>
    <w:p w:rsidR="009264D2" w:rsidRPr="001E06B3" w:rsidRDefault="00E332F8" w:rsidP="00E332F8">
      <w:pPr>
        <w:spacing w:line="240" w:lineRule="auto"/>
        <w:ind w:firstLine="709"/>
        <w:jc w:val="both"/>
        <w:rPr>
          <w:sz w:val="20"/>
          <w:szCs w:val="20"/>
          <w:lang w:val="uk-UA"/>
        </w:rPr>
      </w:pPr>
      <w:r w:rsidRPr="001E06B3">
        <w:rPr>
          <w:i/>
          <w:sz w:val="20"/>
          <w:szCs w:val="20"/>
          <w:lang w:val="uk-UA"/>
        </w:rPr>
        <w:t xml:space="preserve">Мета статті. </w:t>
      </w:r>
      <w:r w:rsidR="00ED7727" w:rsidRPr="001E06B3">
        <w:rPr>
          <w:sz w:val="20"/>
          <w:szCs w:val="20"/>
          <w:lang w:val="uk-UA"/>
        </w:rPr>
        <w:t>Метою</w:t>
      </w:r>
      <w:r w:rsidR="009264D2" w:rsidRPr="001E06B3">
        <w:rPr>
          <w:sz w:val="20"/>
          <w:szCs w:val="20"/>
          <w:lang w:val="uk-UA"/>
        </w:rPr>
        <w:t xml:space="preserve"> </w:t>
      </w:r>
      <w:r w:rsidR="00ED7727" w:rsidRPr="001E06B3">
        <w:rPr>
          <w:sz w:val="20"/>
          <w:szCs w:val="20"/>
          <w:lang w:val="uk-UA"/>
        </w:rPr>
        <w:t>статті</w:t>
      </w:r>
      <w:r w:rsidR="00ED7727" w:rsidRPr="001E06B3">
        <w:rPr>
          <w:b/>
          <w:sz w:val="20"/>
          <w:szCs w:val="20"/>
          <w:lang w:val="uk-UA"/>
        </w:rPr>
        <w:t xml:space="preserve"> </w:t>
      </w:r>
      <w:r w:rsidR="00ED7727" w:rsidRPr="001E06B3">
        <w:rPr>
          <w:sz w:val="20"/>
          <w:szCs w:val="20"/>
          <w:lang w:val="uk-UA"/>
        </w:rPr>
        <w:t xml:space="preserve">є дослідження особливостей міжнародної інвестиційної діяльності </w:t>
      </w:r>
      <w:r w:rsidR="009264D2" w:rsidRPr="001E06B3">
        <w:rPr>
          <w:sz w:val="20"/>
          <w:szCs w:val="20"/>
          <w:lang w:val="uk-UA"/>
        </w:rPr>
        <w:t>транснаціональних корпорацій в</w:t>
      </w:r>
      <w:r w:rsidR="00ED7727" w:rsidRPr="001E06B3">
        <w:rPr>
          <w:sz w:val="20"/>
          <w:szCs w:val="20"/>
          <w:lang w:val="uk-UA"/>
        </w:rPr>
        <w:t xml:space="preserve"> сучасних умовах розвитку глобалізаційних процесів</w:t>
      </w:r>
      <w:r w:rsidR="009264D2" w:rsidRPr="001E06B3">
        <w:rPr>
          <w:sz w:val="20"/>
          <w:szCs w:val="20"/>
          <w:lang w:val="uk-UA"/>
        </w:rPr>
        <w:t>.</w:t>
      </w:r>
    </w:p>
    <w:p w:rsidR="009D55C0" w:rsidRPr="001E06B3" w:rsidRDefault="00E332F8" w:rsidP="00ED7727">
      <w:pPr>
        <w:spacing w:line="240" w:lineRule="auto"/>
        <w:ind w:firstLine="709"/>
        <w:jc w:val="both"/>
        <w:rPr>
          <w:sz w:val="20"/>
          <w:szCs w:val="20"/>
          <w:lang w:val="uk-UA"/>
        </w:rPr>
      </w:pPr>
      <w:r w:rsidRPr="001E06B3">
        <w:rPr>
          <w:i/>
          <w:sz w:val="20"/>
          <w:szCs w:val="20"/>
          <w:lang w:val="uk-UA"/>
        </w:rPr>
        <w:t>Виклад основного матеріалу дослідження.</w:t>
      </w:r>
      <w:r w:rsidRPr="001E06B3">
        <w:rPr>
          <w:sz w:val="20"/>
          <w:szCs w:val="20"/>
          <w:lang w:val="uk-UA"/>
        </w:rPr>
        <w:t xml:space="preserve"> </w:t>
      </w:r>
      <w:r w:rsidR="009264D2" w:rsidRPr="001E06B3">
        <w:rPr>
          <w:sz w:val="20"/>
          <w:szCs w:val="20"/>
          <w:lang w:val="uk-UA"/>
        </w:rPr>
        <w:t xml:space="preserve">На початку ХХІ століття основною тенденцією світової економіки стало прискорення темпів глобалізації, зумовлене міжнародною міграцією капіталів, поглибленням </w:t>
      </w:r>
      <w:r w:rsidR="009264D2" w:rsidRPr="001E06B3">
        <w:rPr>
          <w:sz w:val="20"/>
          <w:szCs w:val="20"/>
          <w:lang w:val="uk-UA"/>
        </w:rPr>
        <w:lastRenderedPageBreak/>
        <w:t xml:space="preserve">поділу праці і спеціалізації країн. Сучасні процеси функціонування економічних систем характеризуються все більшим посиленням ролі та впливу </w:t>
      </w:r>
      <w:r w:rsidR="005B50D0">
        <w:rPr>
          <w:sz w:val="20"/>
          <w:szCs w:val="20"/>
          <w:lang w:val="uk-UA"/>
        </w:rPr>
        <w:t xml:space="preserve">ТНК на їх функціонування </w:t>
      </w:r>
      <w:r w:rsidR="00FB5C5C" w:rsidRPr="001E06B3">
        <w:rPr>
          <w:sz w:val="20"/>
          <w:szCs w:val="20"/>
          <w:lang w:val="uk-UA"/>
        </w:rPr>
        <w:t>[6]</w:t>
      </w:r>
      <w:r w:rsidR="009264D2" w:rsidRPr="001E06B3">
        <w:rPr>
          <w:sz w:val="20"/>
          <w:szCs w:val="20"/>
          <w:lang w:val="uk-UA"/>
        </w:rPr>
        <w:t>.</w:t>
      </w:r>
    </w:p>
    <w:p w:rsidR="00F027E3" w:rsidRPr="001E06B3" w:rsidRDefault="00F027E3" w:rsidP="005B50D0">
      <w:pPr>
        <w:spacing w:line="240" w:lineRule="auto"/>
        <w:ind w:firstLine="709"/>
        <w:jc w:val="both"/>
        <w:rPr>
          <w:sz w:val="20"/>
          <w:szCs w:val="20"/>
          <w:lang w:val="uk-UA"/>
        </w:rPr>
      </w:pPr>
      <w:r w:rsidRPr="001E06B3">
        <w:rPr>
          <w:sz w:val="20"/>
          <w:szCs w:val="20"/>
          <w:lang w:val="uk-UA"/>
        </w:rPr>
        <w:t xml:space="preserve">Світову економічну могутність сконцентровано в “руках” 100 найбільших ТНК (Microsoft, </w:t>
      </w:r>
      <w:r w:rsidRPr="001E06B3">
        <w:rPr>
          <w:sz w:val="20"/>
          <w:szCs w:val="20"/>
          <w:lang w:val="en-GB"/>
        </w:rPr>
        <w:t>General</w:t>
      </w:r>
      <w:r w:rsidRPr="001E06B3">
        <w:rPr>
          <w:sz w:val="20"/>
          <w:szCs w:val="20"/>
          <w:lang w:val="uk-UA"/>
        </w:rPr>
        <w:t xml:space="preserve"> </w:t>
      </w:r>
      <w:r w:rsidRPr="001E06B3">
        <w:rPr>
          <w:sz w:val="20"/>
          <w:szCs w:val="20"/>
          <w:lang w:val="en-GB"/>
        </w:rPr>
        <w:t>Electric</w:t>
      </w:r>
      <w:r w:rsidRPr="001E06B3">
        <w:rPr>
          <w:sz w:val="20"/>
          <w:szCs w:val="20"/>
          <w:lang w:val="uk-UA"/>
        </w:rPr>
        <w:t xml:space="preserve">, </w:t>
      </w:r>
      <w:r w:rsidRPr="001E06B3">
        <w:rPr>
          <w:sz w:val="20"/>
          <w:szCs w:val="20"/>
          <w:lang w:val="en-GB"/>
        </w:rPr>
        <w:t>Exxon</w:t>
      </w:r>
      <w:r w:rsidRPr="001E06B3">
        <w:rPr>
          <w:sz w:val="20"/>
          <w:szCs w:val="20"/>
          <w:lang w:val="uk-UA"/>
        </w:rPr>
        <w:t xml:space="preserve"> </w:t>
      </w:r>
      <w:r w:rsidRPr="001E06B3">
        <w:rPr>
          <w:sz w:val="20"/>
          <w:szCs w:val="20"/>
          <w:lang w:val="en-GB"/>
        </w:rPr>
        <w:t>Mobil</w:t>
      </w:r>
      <w:r w:rsidRPr="001E06B3">
        <w:rPr>
          <w:sz w:val="20"/>
          <w:szCs w:val="20"/>
          <w:lang w:val="uk-UA"/>
        </w:rPr>
        <w:t xml:space="preserve">, </w:t>
      </w:r>
      <w:r w:rsidRPr="001E06B3">
        <w:rPr>
          <w:sz w:val="20"/>
          <w:szCs w:val="20"/>
          <w:lang w:val="en-GB"/>
        </w:rPr>
        <w:t>Wai</w:t>
      </w:r>
      <w:r w:rsidRPr="001E06B3">
        <w:rPr>
          <w:sz w:val="20"/>
          <w:szCs w:val="20"/>
          <w:lang w:val="uk-UA"/>
        </w:rPr>
        <w:t xml:space="preserve"> </w:t>
      </w:r>
      <w:r w:rsidRPr="001E06B3">
        <w:rPr>
          <w:sz w:val="20"/>
          <w:szCs w:val="20"/>
          <w:lang w:val="en-GB"/>
        </w:rPr>
        <w:t>Mart</w:t>
      </w:r>
      <w:r w:rsidRPr="001E06B3">
        <w:rPr>
          <w:sz w:val="20"/>
          <w:szCs w:val="20"/>
          <w:lang w:val="uk-UA"/>
        </w:rPr>
        <w:t xml:space="preserve"> </w:t>
      </w:r>
      <w:r w:rsidRPr="001E06B3">
        <w:rPr>
          <w:sz w:val="20"/>
          <w:szCs w:val="20"/>
          <w:lang w:val="en-GB"/>
        </w:rPr>
        <w:t>Stores</w:t>
      </w:r>
      <w:r w:rsidRPr="001E06B3">
        <w:rPr>
          <w:sz w:val="20"/>
          <w:szCs w:val="20"/>
          <w:lang w:val="uk-UA"/>
        </w:rPr>
        <w:t xml:space="preserve">, </w:t>
      </w:r>
      <w:r w:rsidRPr="001E06B3">
        <w:rPr>
          <w:sz w:val="20"/>
          <w:szCs w:val="20"/>
          <w:lang w:val="en-GB"/>
        </w:rPr>
        <w:t>Citigroup</w:t>
      </w:r>
      <w:r w:rsidRPr="001E06B3">
        <w:rPr>
          <w:sz w:val="20"/>
          <w:szCs w:val="20"/>
          <w:lang w:val="uk-UA"/>
        </w:rPr>
        <w:t xml:space="preserve">, </w:t>
      </w:r>
      <w:r w:rsidRPr="001E06B3">
        <w:rPr>
          <w:sz w:val="20"/>
          <w:szCs w:val="20"/>
          <w:lang w:val="en-GB"/>
        </w:rPr>
        <w:t>Johnson</w:t>
      </w:r>
      <w:r w:rsidRPr="001E06B3">
        <w:rPr>
          <w:sz w:val="20"/>
          <w:szCs w:val="20"/>
          <w:lang w:val="uk-UA"/>
        </w:rPr>
        <w:t>&amp;</w:t>
      </w:r>
      <w:r w:rsidRPr="001E06B3">
        <w:rPr>
          <w:sz w:val="20"/>
          <w:szCs w:val="20"/>
          <w:lang w:val="en-GB"/>
        </w:rPr>
        <w:t>Johnson</w:t>
      </w:r>
      <w:r w:rsidRPr="001E06B3">
        <w:rPr>
          <w:sz w:val="20"/>
          <w:szCs w:val="20"/>
          <w:lang w:val="uk-UA"/>
        </w:rPr>
        <w:t xml:space="preserve">, </w:t>
      </w:r>
      <w:r w:rsidRPr="001E06B3">
        <w:rPr>
          <w:sz w:val="20"/>
          <w:szCs w:val="20"/>
          <w:lang w:val="en-GB"/>
        </w:rPr>
        <w:t>Royal</w:t>
      </w:r>
      <w:r w:rsidRPr="001E06B3">
        <w:rPr>
          <w:sz w:val="20"/>
          <w:szCs w:val="20"/>
          <w:lang w:val="uk-UA"/>
        </w:rPr>
        <w:t xml:space="preserve"> </w:t>
      </w:r>
      <w:r w:rsidRPr="001E06B3">
        <w:rPr>
          <w:sz w:val="20"/>
          <w:szCs w:val="20"/>
          <w:lang w:val="en-GB"/>
        </w:rPr>
        <w:t>Dutch</w:t>
      </w:r>
      <w:r w:rsidRPr="001E06B3">
        <w:rPr>
          <w:sz w:val="20"/>
          <w:szCs w:val="20"/>
          <w:lang w:val="uk-UA"/>
        </w:rPr>
        <w:t>/</w:t>
      </w:r>
      <w:r w:rsidRPr="001E06B3">
        <w:rPr>
          <w:sz w:val="20"/>
          <w:szCs w:val="20"/>
          <w:lang w:val="en-GB"/>
        </w:rPr>
        <w:t>Shell</w:t>
      </w:r>
      <w:r w:rsidRPr="001E06B3">
        <w:rPr>
          <w:sz w:val="20"/>
          <w:szCs w:val="20"/>
          <w:lang w:val="uk-UA"/>
        </w:rPr>
        <w:t xml:space="preserve">, </w:t>
      </w:r>
      <w:r w:rsidRPr="001E06B3">
        <w:rPr>
          <w:sz w:val="20"/>
          <w:szCs w:val="20"/>
          <w:lang w:val="en-GB"/>
        </w:rPr>
        <w:t>BP</w:t>
      </w:r>
      <w:r w:rsidRPr="001E06B3">
        <w:rPr>
          <w:sz w:val="20"/>
          <w:szCs w:val="20"/>
          <w:lang w:val="uk-UA"/>
        </w:rPr>
        <w:t xml:space="preserve">, </w:t>
      </w:r>
      <w:r w:rsidRPr="001E06B3">
        <w:rPr>
          <w:sz w:val="20"/>
          <w:szCs w:val="20"/>
          <w:lang w:val="en-GB"/>
        </w:rPr>
        <w:t>IBM</w:t>
      </w:r>
      <w:r w:rsidRPr="001E06B3">
        <w:rPr>
          <w:sz w:val="20"/>
          <w:szCs w:val="20"/>
          <w:lang w:val="uk-UA"/>
        </w:rPr>
        <w:t xml:space="preserve">, </w:t>
      </w:r>
      <w:r w:rsidRPr="001E06B3">
        <w:rPr>
          <w:sz w:val="20"/>
          <w:szCs w:val="20"/>
          <w:lang w:val="en-GB"/>
        </w:rPr>
        <w:t>Ford</w:t>
      </w:r>
      <w:r w:rsidRPr="001E06B3">
        <w:rPr>
          <w:sz w:val="20"/>
          <w:szCs w:val="20"/>
          <w:lang w:val="uk-UA"/>
        </w:rPr>
        <w:t xml:space="preserve">, </w:t>
      </w:r>
      <w:r w:rsidRPr="001E06B3">
        <w:rPr>
          <w:sz w:val="20"/>
          <w:szCs w:val="20"/>
          <w:lang w:val="en-GB"/>
        </w:rPr>
        <w:t>Nestle</w:t>
      </w:r>
      <w:r w:rsidRPr="001E06B3">
        <w:rPr>
          <w:sz w:val="20"/>
          <w:szCs w:val="20"/>
          <w:lang w:val="uk-UA"/>
        </w:rPr>
        <w:t xml:space="preserve">, </w:t>
      </w:r>
      <w:r w:rsidRPr="001E06B3">
        <w:rPr>
          <w:sz w:val="20"/>
          <w:szCs w:val="20"/>
          <w:lang w:val="en-GB"/>
        </w:rPr>
        <w:t>Phillip</w:t>
      </w:r>
      <w:r w:rsidRPr="001E06B3">
        <w:rPr>
          <w:sz w:val="20"/>
          <w:szCs w:val="20"/>
          <w:lang w:val="uk-UA"/>
        </w:rPr>
        <w:t xml:space="preserve"> </w:t>
      </w:r>
      <w:r w:rsidRPr="001E06B3">
        <w:rPr>
          <w:sz w:val="20"/>
          <w:szCs w:val="20"/>
          <w:lang w:val="en-GB"/>
        </w:rPr>
        <w:t>Morris</w:t>
      </w:r>
      <w:r w:rsidR="005B50D0">
        <w:rPr>
          <w:sz w:val="20"/>
          <w:szCs w:val="20"/>
          <w:lang w:val="uk-UA"/>
        </w:rPr>
        <w:t xml:space="preserve">) </w:t>
      </w:r>
      <w:r w:rsidR="00FB5C5C" w:rsidRPr="001E06B3">
        <w:rPr>
          <w:sz w:val="20"/>
          <w:szCs w:val="20"/>
          <w:lang w:val="uk-UA"/>
        </w:rPr>
        <w:t>[1</w:t>
      </w:r>
      <w:r w:rsidRPr="001E06B3">
        <w:rPr>
          <w:sz w:val="20"/>
          <w:szCs w:val="20"/>
          <w:lang w:val="uk-UA"/>
        </w:rPr>
        <w:t>].</w:t>
      </w:r>
      <w:r w:rsidR="005B50D0">
        <w:rPr>
          <w:sz w:val="20"/>
          <w:szCs w:val="20"/>
          <w:lang w:val="uk-UA"/>
        </w:rPr>
        <w:t xml:space="preserve"> </w:t>
      </w:r>
      <w:r w:rsidRPr="001E06B3">
        <w:rPr>
          <w:sz w:val="20"/>
          <w:szCs w:val="20"/>
          <w:lang w:val="uk-UA"/>
        </w:rPr>
        <w:t xml:space="preserve">В цілому, у світі за даними UNCTAD, налічується близько 85 тис. </w:t>
      </w:r>
      <w:r w:rsidR="005B50D0">
        <w:rPr>
          <w:sz w:val="20"/>
          <w:szCs w:val="20"/>
          <w:lang w:val="uk-UA"/>
        </w:rPr>
        <w:t xml:space="preserve">ТНК </w:t>
      </w:r>
      <w:r w:rsidRPr="001E06B3">
        <w:rPr>
          <w:sz w:val="20"/>
          <w:szCs w:val="20"/>
          <w:lang w:val="uk-UA"/>
        </w:rPr>
        <w:t xml:space="preserve">з 810 тис. зарубіжних підрозділів. За останні 30 років кількість ТНК збільшилась у 12 разів (у 1970 р. було зареєстровано 7 тис. таких фірм, у 1990р. </w:t>
      </w:r>
      <w:r w:rsidRPr="001E06B3">
        <w:rPr>
          <w:sz w:val="20"/>
          <w:szCs w:val="20"/>
        </w:rPr>
        <w:t>–</w:t>
      </w:r>
      <w:r w:rsidRPr="001E06B3">
        <w:rPr>
          <w:sz w:val="20"/>
          <w:szCs w:val="20"/>
          <w:lang w:val="uk-UA"/>
        </w:rPr>
        <w:t xml:space="preserve"> 24 тис</w:t>
      </w:r>
      <w:proofErr w:type="gramStart"/>
      <w:r w:rsidRPr="001E06B3">
        <w:rPr>
          <w:sz w:val="20"/>
          <w:szCs w:val="20"/>
          <w:lang w:val="uk-UA"/>
        </w:rPr>
        <w:t xml:space="preserve">., </w:t>
      </w:r>
      <w:proofErr w:type="gramEnd"/>
      <w:r w:rsidRPr="001E06B3">
        <w:rPr>
          <w:sz w:val="20"/>
          <w:szCs w:val="20"/>
          <w:lang w:val="uk-UA"/>
        </w:rPr>
        <w:t xml:space="preserve">у 2012р. </w:t>
      </w:r>
      <w:r w:rsidRPr="001E06B3">
        <w:rPr>
          <w:sz w:val="20"/>
          <w:szCs w:val="20"/>
        </w:rPr>
        <w:t>–</w:t>
      </w:r>
      <w:r w:rsidR="006127BA" w:rsidRPr="001E06B3">
        <w:rPr>
          <w:sz w:val="20"/>
          <w:szCs w:val="20"/>
          <w:lang w:val="uk-UA"/>
        </w:rPr>
        <w:t xml:space="preserve"> </w:t>
      </w:r>
      <w:r w:rsidRPr="001E06B3">
        <w:rPr>
          <w:sz w:val="20"/>
          <w:szCs w:val="20"/>
          <w:lang w:val="uk-UA"/>
        </w:rPr>
        <w:t xml:space="preserve">85 тис. ТНК), у яких задіяно більше як 75 млн. чоловік. При цьому на території промислово розвинених держав розміщується понад 80% материнських компаній і близько 33% </w:t>
      </w:r>
      <w:proofErr w:type="spellStart"/>
      <w:r w:rsidRPr="001E06B3">
        <w:rPr>
          <w:sz w:val="20"/>
          <w:szCs w:val="20"/>
          <w:lang w:val="uk-UA"/>
        </w:rPr>
        <w:t>афільованих</w:t>
      </w:r>
      <w:proofErr w:type="spellEnd"/>
      <w:r w:rsidRPr="001E06B3">
        <w:rPr>
          <w:sz w:val="20"/>
          <w:szCs w:val="20"/>
          <w:lang w:val="uk-UA"/>
        </w:rPr>
        <w:t xml:space="preserve">, у країнах, що розвиваються, – відповідно 19,5 і майже 50, у колишніх соціалістичних державах – приблизно 0,5 і 17% </w:t>
      </w:r>
      <w:r w:rsidR="00FB5C5C" w:rsidRPr="001E06B3">
        <w:rPr>
          <w:sz w:val="20"/>
          <w:szCs w:val="20"/>
          <w:lang w:val="uk-UA"/>
        </w:rPr>
        <w:t>[5</w:t>
      </w:r>
      <w:r w:rsidRPr="001E06B3">
        <w:rPr>
          <w:sz w:val="20"/>
          <w:szCs w:val="20"/>
          <w:lang w:val="uk-UA"/>
        </w:rPr>
        <w:t xml:space="preserve">]. </w:t>
      </w:r>
    </w:p>
    <w:p w:rsidR="007C11AA" w:rsidRPr="001E06B3" w:rsidRDefault="007C11AA" w:rsidP="007C11AA">
      <w:pPr>
        <w:spacing w:line="240" w:lineRule="auto"/>
        <w:ind w:firstLine="709"/>
        <w:jc w:val="both"/>
        <w:rPr>
          <w:rStyle w:val="longtext"/>
          <w:sz w:val="20"/>
          <w:szCs w:val="20"/>
          <w:lang w:val="uk-UA"/>
        </w:rPr>
      </w:pPr>
      <w:r w:rsidRPr="001E06B3">
        <w:rPr>
          <w:sz w:val="20"/>
          <w:szCs w:val="20"/>
          <w:lang w:val="uk-UA"/>
        </w:rPr>
        <w:t xml:space="preserve">Журналом </w:t>
      </w:r>
      <w:proofErr w:type="spellStart"/>
      <w:r w:rsidRPr="001E06B3">
        <w:rPr>
          <w:rStyle w:val="longtext"/>
          <w:sz w:val="20"/>
          <w:szCs w:val="20"/>
          <w:lang w:val="uk-UA"/>
        </w:rPr>
        <w:t>Fortune</w:t>
      </w:r>
      <w:proofErr w:type="spellEnd"/>
      <w:r w:rsidRPr="001E06B3">
        <w:rPr>
          <w:rStyle w:val="longtext"/>
          <w:sz w:val="20"/>
          <w:szCs w:val="20"/>
          <w:lang w:val="uk-UA"/>
        </w:rPr>
        <w:t xml:space="preserve"> </w:t>
      </w:r>
      <w:proofErr w:type="spellStart"/>
      <w:r w:rsidRPr="001E06B3">
        <w:rPr>
          <w:rStyle w:val="longtext"/>
          <w:sz w:val="20"/>
          <w:szCs w:val="20"/>
          <w:lang w:val="uk-UA"/>
        </w:rPr>
        <w:t>Global</w:t>
      </w:r>
      <w:proofErr w:type="spellEnd"/>
      <w:r w:rsidRPr="001E06B3">
        <w:rPr>
          <w:rStyle w:val="longtext"/>
          <w:sz w:val="20"/>
          <w:szCs w:val="20"/>
          <w:lang w:val="uk-UA"/>
        </w:rPr>
        <w:t xml:space="preserve"> 500 було проведено дослідження щодо найбільших компаній світу в 2012 році. Основним критерієм складання списку служить виручка учасників. За цим показником рейтинг 2012 очолила </w:t>
      </w:r>
      <w:proofErr w:type="spellStart"/>
      <w:r w:rsidRPr="001E06B3">
        <w:rPr>
          <w:rStyle w:val="longtext"/>
          <w:sz w:val="20"/>
          <w:szCs w:val="20"/>
          <w:lang w:val="uk-UA"/>
        </w:rPr>
        <w:t>Royal</w:t>
      </w:r>
      <w:proofErr w:type="spellEnd"/>
      <w:r w:rsidRPr="001E06B3">
        <w:rPr>
          <w:rStyle w:val="longtext"/>
          <w:sz w:val="20"/>
          <w:szCs w:val="20"/>
          <w:lang w:val="uk-UA"/>
        </w:rPr>
        <w:t xml:space="preserve"> </w:t>
      </w:r>
      <w:proofErr w:type="spellStart"/>
      <w:r w:rsidRPr="001E06B3">
        <w:rPr>
          <w:rStyle w:val="longtext"/>
          <w:sz w:val="20"/>
          <w:szCs w:val="20"/>
          <w:lang w:val="uk-UA"/>
        </w:rPr>
        <w:t>Dutch</w:t>
      </w:r>
      <w:proofErr w:type="spellEnd"/>
      <w:r w:rsidRPr="001E06B3">
        <w:rPr>
          <w:rStyle w:val="longtext"/>
          <w:sz w:val="20"/>
          <w:szCs w:val="20"/>
          <w:lang w:val="uk-UA"/>
        </w:rPr>
        <w:t xml:space="preserve"> </w:t>
      </w:r>
      <w:proofErr w:type="spellStart"/>
      <w:r w:rsidRPr="001E06B3">
        <w:rPr>
          <w:rStyle w:val="longtext"/>
          <w:sz w:val="20"/>
          <w:szCs w:val="20"/>
          <w:lang w:val="uk-UA"/>
        </w:rPr>
        <w:t>Shell</w:t>
      </w:r>
      <w:proofErr w:type="spellEnd"/>
      <w:r w:rsidRPr="001E06B3">
        <w:rPr>
          <w:rStyle w:val="longtext"/>
          <w:sz w:val="20"/>
          <w:szCs w:val="20"/>
          <w:lang w:val="uk-UA"/>
        </w:rPr>
        <w:t xml:space="preserve">. Обсяг виручки  нафтогазового гіганта склав 484,489 млрд. </w:t>
      </w:r>
      <w:r w:rsidRPr="001E06B3">
        <w:rPr>
          <w:sz w:val="20"/>
          <w:szCs w:val="20"/>
          <w:lang w:val="uk-UA"/>
        </w:rPr>
        <w:t>дол. США,</w:t>
      </w:r>
      <w:r w:rsidRPr="001E06B3">
        <w:rPr>
          <w:rStyle w:val="longtext"/>
          <w:sz w:val="20"/>
          <w:szCs w:val="20"/>
          <w:lang w:val="uk-UA"/>
        </w:rPr>
        <w:t xml:space="preserve"> чистий прибуток –     30,918 млрд.</w:t>
      </w:r>
      <w:r w:rsidRPr="001E06B3">
        <w:rPr>
          <w:sz w:val="20"/>
          <w:szCs w:val="20"/>
          <w:lang w:val="uk-UA"/>
        </w:rPr>
        <w:t xml:space="preserve"> дол. США </w:t>
      </w:r>
      <w:r w:rsidR="00FB5C5C" w:rsidRPr="001E06B3">
        <w:rPr>
          <w:sz w:val="20"/>
          <w:szCs w:val="20"/>
          <w:lang w:val="uk-UA"/>
        </w:rPr>
        <w:t xml:space="preserve">[4], </w:t>
      </w:r>
      <w:r w:rsidRPr="001E06B3">
        <w:rPr>
          <w:rFonts w:eastAsia="Calibri"/>
          <w:sz w:val="20"/>
          <w:szCs w:val="20"/>
          <w:lang w:val="uk-UA"/>
        </w:rPr>
        <w:t>(</w:t>
      </w:r>
      <w:r w:rsidRPr="001E06B3">
        <w:rPr>
          <w:sz w:val="20"/>
          <w:szCs w:val="20"/>
          <w:lang w:val="uk-UA"/>
        </w:rPr>
        <w:t>табл. 1</w:t>
      </w:r>
      <w:r w:rsidRPr="001E06B3">
        <w:rPr>
          <w:rFonts w:eastAsia="Calibri"/>
          <w:sz w:val="20"/>
          <w:szCs w:val="20"/>
          <w:lang w:val="uk-UA"/>
        </w:rPr>
        <w:t>):</w:t>
      </w:r>
      <w:r w:rsidRPr="001E06B3">
        <w:rPr>
          <w:rStyle w:val="longtext"/>
          <w:sz w:val="20"/>
          <w:szCs w:val="20"/>
          <w:lang w:val="uk-UA"/>
        </w:rPr>
        <w:t xml:space="preserve"> </w:t>
      </w:r>
    </w:p>
    <w:p w:rsidR="007C11AA" w:rsidRPr="001E06B3" w:rsidRDefault="007C11AA" w:rsidP="007C11AA">
      <w:pPr>
        <w:tabs>
          <w:tab w:val="left" w:pos="1260"/>
        </w:tabs>
        <w:autoSpaceDE w:val="0"/>
        <w:autoSpaceDN w:val="0"/>
        <w:adjustRightInd w:val="0"/>
        <w:spacing w:line="240" w:lineRule="auto"/>
        <w:jc w:val="right"/>
        <w:rPr>
          <w:rFonts w:eastAsia="Calibri"/>
          <w:b/>
          <w:sz w:val="20"/>
          <w:szCs w:val="20"/>
          <w:lang w:val="uk-UA"/>
        </w:rPr>
      </w:pPr>
      <w:r w:rsidRPr="001E06B3">
        <w:rPr>
          <w:b/>
          <w:sz w:val="20"/>
          <w:szCs w:val="20"/>
          <w:lang w:val="uk-UA"/>
        </w:rPr>
        <w:t>Таблиця 1</w:t>
      </w:r>
      <w:r w:rsidRPr="001E06B3">
        <w:rPr>
          <w:rFonts w:eastAsia="Calibri"/>
          <w:b/>
          <w:sz w:val="20"/>
          <w:szCs w:val="20"/>
          <w:lang w:val="uk-UA"/>
        </w:rPr>
        <w:t xml:space="preserve"> </w:t>
      </w:r>
    </w:p>
    <w:p w:rsidR="007C11AA" w:rsidRPr="001E06B3" w:rsidRDefault="007C11AA" w:rsidP="007C11AA">
      <w:pPr>
        <w:tabs>
          <w:tab w:val="left" w:pos="1260"/>
        </w:tabs>
        <w:autoSpaceDE w:val="0"/>
        <w:autoSpaceDN w:val="0"/>
        <w:adjustRightInd w:val="0"/>
        <w:spacing w:line="240" w:lineRule="auto"/>
        <w:ind w:firstLine="720"/>
        <w:jc w:val="center"/>
        <w:rPr>
          <w:rFonts w:eastAsia="Calibri"/>
          <w:b/>
          <w:sz w:val="20"/>
          <w:szCs w:val="20"/>
          <w:lang w:val="uk-UA"/>
        </w:rPr>
      </w:pPr>
      <w:r w:rsidRPr="001E06B3">
        <w:rPr>
          <w:rFonts w:eastAsia="Calibri"/>
          <w:b/>
          <w:sz w:val="20"/>
          <w:szCs w:val="20"/>
          <w:lang w:val="uk-UA"/>
        </w:rPr>
        <w:t xml:space="preserve">10 найбільших ТНК світу за версією журналу </w:t>
      </w:r>
      <w:r w:rsidRPr="001E06B3">
        <w:rPr>
          <w:rFonts w:eastAsia="Calibri"/>
          <w:b/>
          <w:sz w:val="20"/>
          <w:szCs w:val="20"/>
          <w:lang w:val="en-US"/>
        </w:rPr>
        <w:t>Fortune</w:t>
      </w:r>
      <w:r w:rsidRPr="001E06B3">
        <w:rPr>
          <w:rFonts w:eastAsia="Calibri"/>
          <w:b/>
          <w:sz w:val="20"/>
          <w:szCs w:val="20"/>
          <w:lang w:val="uk-UA"/>
        </w:rPr>
        <w:t xml:space="preserve"> (2012р.)</w:t>
      </w:r>
    </w:p>
    <w:tbl>
      <w:tblPr>
        <w:tblpPr w:leftFromText="180" w:rightFromText="180" w:vertAnchor="text" w:horzAnchor="margin" w:tblpX="144" w:tblpY="184"/>
        <w:tblW w:w="9570" w:type="dxa"/>
        <w:tblLook w:val="0000" w:firstRow="0" w:lastRow="0" w:firstColumn="0" w:lastColumn="0" w:noHBand="0" w:noVBand="0"/>
      </w:tblPr>
      <w:tblGrid>
        <w:gridCol w:w="968"/>
        <w:gridCol w:w="2531"/>
        <w:gridCol w:w="1846"/>
        <w:gridCol w:w="1854"/>
        <w:gridCol w:w="2371"/>
      </w:tblGrid>
      <w:tr w:rsidR="007C11AA" w:rsidRPr="001E06B3" w:rsidTr="0085788B">
        <w:trPr>
          <w:trHeight w:val="660"/>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
                <w:bCs/>
                <w:sz w:val="20"/>
                <w:szCs w:val="20"/>
                <w:lang w:val="uk-UA"/>
              </w:rPr>
            </w:pPr>
            <w:r w:rsidRPr="001E06B3">
              <w:rPr>
                <w:rFonts w:eastAsia="Calibri"/>
                <w:b/>
                <w:bCs/>
                <w:sz w:val="20"/>
                <w:szCs w:val="20"/>
                <w:lang w:val="uk-UA"/>
              </w:rPr>
              <w:t>Місце</w:t>
            </w: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
                <w:bCs/>
                <w:sz w:val="20"/>
                <w:szCs w:val="20"/>
                <w:lang w:val="uk-UA"/>
              </w:rPr>
            </w:pPr>
            <w:r w:rsidRPr="001E06B3">
              <w:rPr>
                <w:rFonts w:eastAsia="Calibri"/>
                <w:b/>
                <w:bCs/>
                <w:sz w:val="20"/>
                <w:szCs w:val="20"/>
                <w:lang w:val="uk-UA"/>
              </w:rPr>
              <w:t>Компанія</w:t>
            </w:r>
          </w:p>
        </w:tc>
        <w:tc>
          <w:tcPr>
            <w:tcW w:w="1846" w:type="dxa"/>
            <w:tcBorders>
              <w:top w:val="single" w:sz="4" w:space="0" w:color="auto"/>
              <w:left w:val="nil"/>
              <w:bottom w:val="single" w:sz="4" w:space="0" w:color="auto"/>
              <w:right w:val="single" w:sz="4" w:space="0" w:color="auto"/>
            </w:tcBorders>
            <w:shd w:val="clear" w:color="auto" w:fill="auto"/>
            <w:vAlign w:val="center"/>
          </w:tcPr>
          <w:p w:rsidR="007C11AA" w:rsidRPr="001E06B3" w:rsidRDefault="007C11AA" w:rsidP="00242E8A">
            <w:pPr>
              <w:spacing w:line="240" w:lineRule="auto"/>
              <w:jc w:val="center"/>
              <w:rPr>
                <w:rFonts w:eastAsia="Calibri"/>
                <w:b/>
                <w:bCs/>
                <w:sz w:val="20"/>
                <w:szCs w:val="20"/>
                <w:lang w:val="uk-UA"/>
              </w:rPr>
            </w:pPr>
            <w:r w:rsidRPr="001E06B3">
              <w:rPr>
                <w:b/>
                <w:bCs/>
                <w:sz w:val="20"/>
                <w:szCs w:val="20"/>
                <w:lang w:val="uk-UA"/>
              </w:rPr>
              <w:t>Річний дохід (млрд</w:t>
            </w:r>
            <w:r w:rsidRPr="001E06B3">
              <w:rPr>
                <w:rFonts w:eastAsia="Calibri"/>
                <w:b/>
                <w:bCs/>
                <w:sz w:val="20"/>
                <w:szCs w:val="20"/>
                <w:lang w:val="uk-UA"/>
              </w:rPr>
              <w:t>. дол.)</w:t>
            </w:r>
          </w:p>
        </w:tc>
        <w:tc>
          <w:tcPr>
            <w:tcW w:w="1854" w:type="dxa"/>
            <w:tcBorders>
              <w:top w:val="single" w:sz="4" w:space="0" w:color="auto"/>
              <w:left w:val="nil"/>
              <w:bottom w:val="single" w:sz="4" w:space="0" w:color="auto"/>
              <w:right w:val="single" w:sz="4" w:space="0" w:color="auto"/>
            </w:tcBorders>
            <w:shd w:val="clear" w:color="auto" w:fill="auto"/>
            <w:vAlign w:val="center"/>
          </w:tcPr>
          <w:p w:rsidR="0085788B" w:rsidRPr="001E06B3" w:rsidRDefault="007C11AA" w:rsidP="00242E8A">
            <w:pPr>
              <w:spacing w:line="240" w:lineRule="auto"/>
              <w:jc w:val="center"/>
              <w:rPr>
                <w:b/>
                <w:bCs/>
                <w:sz w:val="20"/>
                <w:szCs w:val="20"/>
                <w:lang w:val="uk-UA"/>
              </w:rPr>
            </w:pPr>
            <w:r w:rsidRPr="001E06B3">
              <w:rPr>
                <w:b/>
                <w:bCs/>
                <w:sz w:val="20"/>
                <w:szCs w:val="20"/>
                <w:lang w:val="uk-UA"/>
              </w:rPr>
              <w:t xml:space="preserve">Прибуток </w:t>
            </w:r>
          </w:p>
          <w:p w:rsidR="007C11AA" w:rsidRPr="001E06B3" w:rsidRDefault="007C11AA" w:rsidP="00242E8A">
            <w:pPr>
              <w:spacing w:line="240" w:lineRule="auto"/>
              <w:jc w:val="center"/>
              <w:rPr>
                <w:rFonts w:eastAsia="Calibri"/>
                <w:b/>
                <w:bCs/>
                <w:sz w:val="20"/>
                <w:szCs w:val="20"/>
                <w:lang w:val="uk-UA"/>
              </w:rPr>
            </w:pPr>
            <w:r w:rsidRPr="001E06B3">
              <w:rPr>
                <w:b/>
                <w:bCs/>
                <w:sz w:val="20"/>
                <w:szCs w:val="20"/>
                <w:lang w:val="uk-UA"/>
              </w:rPr>
              <w:t>(млрд</w:t>
            </w:r>
            <w:r w:rsidRPr="001E06B3">
              <w:rPr>
                <w:rFonts w:eastAsia="Calibri"/>
                <w:b/>
                <w:bCs/>
                <w:sz w:val="20"/>
                <w:szCs w:val="20"/>
                <w:lang w:val="uk-UA"/>
              </w:rPr>
              <w:t>. дол.)</w:t>
            </w:r>
          </w:p>
        </w:tc>
        <w:tc>
          <w:tcPr>
            <w:tcW w:w="2371" w:type="dxa"/>
            <w:tcBorders>
              <w:top w:val="single" w:sz="4" w:space="0" w:color="auto"/>
              <w:left w:val="nil"/>
              <w:bottom w:val="single" w:sz="4" w:space="0" w:color="auto"/>
              <w:right w:val="single" w:sz="4" w:space="0" w:color="auto"/>
            </w:tcBorders>
          </w:tcPr>
          <w:p w:rsidR="007C11AA" w:rsidRPr="001E06B3" w:rsidRDefault="007C11AA" w:rsidP="00242E8A">
            <w:pPr>
              <w:spacing w:line="240" w:lineRule="auto"/>
              <w:jc w:val="center"/>
              <w:rPr>
                <w:b/>
                <w:bCs/>
                <w:i/>
                <w:sz w:val="20"/>
                <w:szCs w:val="20"/>
                <w:lang w:val="uk-UA"/>
              </w:rPr>
            </w:pPr>
            <w:r w:rsidRPr="001E06B3">
              <w:rPr>
                <w:b/>
                <w:bCs/>
                <w:sz w:val="20"/>
                <w:szCs w:val="20"/>
                <w:lang w:val="uk-UA"/>
              </w:rPr>
              <w:t>Країна базування</w:t>
            </w:r>
          </w:p>
        </w:tc>
      </w:tr>
      <w:tr w:rsidR="007C11AA" w:rsidRPr="001E06B3" w:rsidTr="0085788B">
        <w:trPr>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1</w:t>
            </w:r>
          </w:p>
        </w:tc>
        <w:tc>
          <w:tcPr>
            <w:tcW w:w="2531"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r w:rsidRPr="001E06B3">
              <w:rPr>
                <w:rFonts w:eastAsia="Calibri"/>
                <w:sz w:val="20"/>
                <w:szCs w:val="20"/>
                <w:lang w:val="en-US"/>
              </w:rPr>
              <w:t>Royal Dutch Shell</w:t>
            </w:r>
            <w:r w:rsidRPr="001E06B3">
              <w:rPr>
                <w:rFonts w:eastAsia="Calibri"/>
                <w:bCs/>
                <w:sz w:val="20"/>
                <w:szCs w:val="20"/>
                <w:lang w:val="en-US"/>
              </w:rPr>
              <w:t xml:space="preserve"> </w:t>
            </w:r>
          </w:p>
        </w:tc>
        <w:tc>
          <w:tcPr>
            <w:tcW w:w="1846"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484,489</w:t>
            </w:r>
          </w:p>
        </w:tc>
        <w:tc>
          <w:tcPr>
            <w:tcW w:w="1854"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30,918</w:t>
            </w:r>
          </w:p>
        </w:tc>
        <w:tc>
          <w:tcPr>
            <w:tcW w:w="2371" w:type="dxa"/>
            <w:tcBorders>
              <w:top w:val="nil"/>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uk-UA"/>
              </w:rPr>
            </w:pPr>
            <w:r w:rsidRPr="001E06B3">
              <w:rPr>
                <w:rFonts w:eastAsia="Calibri"/>
                <w:bCs/>
                <w:sz w:val="20"/>
                <w:szCs w:val="20"/>
                <w:lang w:val="uk-UA"/>
              </w:rPr>
              <w:t>Нідерланди</w:t>
            </w:r>
          </w:p>
        </w:tc>
      </w:tr>
      <w:tr w:rsidR="007C11AA" w:rsidRPr="001E06B3" w:rsidTr="0085788B">
        <w:trPr>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2</w:t>
            </w:r>
          </w:p>
        </w:tc>
        <w:tc>
          <w:tcPr>
            <w:tcW w:w="2531"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r w:rsidRPr="001E06B3">
              <w:rPr>
                <w:rFonts w:eastAsia="Calibri"/>
                <w:bCs/>
                <w:sz w:val="20"/>
                <w:szCs w:val="20"/>
                <w:lang w:val="en-US"/>
              </w:rPr>
              <w:t>Exxon Mobil</w:t>
            </w:r>
            <w:r w:rsidRPr="001E06B3">
              <w:rPr>
                <w:rFonts w:eastAsia="Calibri"/>
                <w:bCs/>
                <w:sz w:val="20"/>
                <w:szCs w:val="20"/>
                <w:lang w:val="uk-UA"/>
              </w:rPr>
              <w:t xml:space="preserve"> </w:t>
            </w:r>
          </w:p>
        </w:tc>
        <w:tc>
          <w:tcPr>
            <w:tcW w:w="1846"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452,926</w:t>
            </w:r>
          </w:p>
        </w:tc>
        <w:tc>
          <w:tcPr>
            <w:tcW w:w="1854"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41,060</w:t>
            </w:r>
          </w:p>
        </w:tc>
        <w:tc>
          <w:tcPr>
            <w:tcW w:w="2371" w:type="dxa"/>
            <w:tcBorders>
              <w:top w:val="nil"/>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en-US"/>
              </w:rPr>
            </w:pPr>
            <w:r w:rsidRPr="001E06B3">
              <w:rPr>
                <w:sz w:val="20"/>
                <w:szCs w:val="20"/>
              </w:rPr>
              <w:t>США</w:t>
            </w:r>
          </w:p>
        </w:tc>
      </w:tr>
      <w:tr w:rsidR="007C11AA" w:rsidRPr="001E06B3" w:rsidTr="0085788B">
        <w:trPr>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3</w:t>
            </w:r>
          </w:p>
        </w:tc>
        <w:tc>
          <w:tcPr>
            <w:tcW w:w="2531"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r w:rsidRPr="001E06B3">
              <w:rPr>
                <w:rFonts w:eastAsia="Calibri"/>
                <w:bCs/>
                <w:sz w:val="20"/>
                <w:szCs w:val="20"/>
                <w:lang w:val="en-US"/>
              </w:rPr>
              <w:t>Wal-Mart Stores</w:t>
            </w:r>
            <w:r w:rsidRPr="001E06B3">
              <w:rPr>
                <w:rFonts w:eastAsia="Calibri"/>
                <w:bCs/>
                <w:sz w:val="20"/>
                <w:szCs w:val="20"/>
                <w:lang w:val="uk-UA"/>
              </w:rPr>
              <w:t xml:space="preserve"> </w:t>
            </w:r>
          </w:p>
        </w:tc>
        <w:tc>
          <w:tcPr>
            <w:tcW w:w="1846"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446,950</w:t>
            </w:r>
          </w:p>
        </w:tc>
        <w:tc>
          <w:tcPr>
            <w:tcW w:w="1854"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15,699</w:t>
            </w:r>
          </w:p>
        </w:tc>
        <w:tc>
          <w:tcPr>
            <w:tcW w:w="2371" w:type="dxa"/>
            <w:tcBorders>
              <w:top w:val="nil"/>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en-US"/>
              </w:rPr>
            </w:pPr>
            <w:r w:rsidRPr="001E06B3">
              <w:rPr>
                <w:sz w:val="20"/>
                <w:szCs w:val="20"/>
              </w:rPr>
              <w:t>США</w:t>
            </w:r>
          </w:p>
        </w:tc>
      </w:tr>
      <w:tr w:rsidR="007C11AA" w:rsidRPr="001E06B3" w:rsidTr="0085788B">
        <w:trPr>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4</w:t>
            </w:r>
          </w:p>
        </w:tc>
        <w:tc>
          <w:tcPr>
            <w:tcW w:w="2531"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r w:rsidRPr="001E06B3">
              <w:rPr>
                <w:rFonts w:eastAsia="Calibri"/>
                <w:bCs/>
                <w:sz w:val="20"/>
                <w:szCs w:val="20"/>
                <w:lang w:val="uk-UA"/>
              </w:rPr>
              <w:t>ВР</w:t>
            </w:r>
          </w:p>
        </w:tc>
        <w:tc>
          <w:tcPr>
            <w:tcW w:w="1846"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rPr>
            </w:pPr>
            <w:r w:rsidRPr="001E06B3">
              <w:rPr>
                <w:rFonts w:eastAsia="Calibri"/>
                <w:bCs/>
                <w:sz w:val="20"/>
                <w:szCs w:val="20"/>
                <w:lang w:val="en-US"/>
              </w:rPr>
              <w:t>386,463</w:t>
            </w:r>
          </w:p>
        </w:tc>
        <w:tc>
          <w:tcPr>
            <w:tcW w:w="1854"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25,700</w:t>
            </w:r>
          </w:p>
        </w:tc>
        <w:tc>
          <w:tcPr>
            <w:tcW w:w="2371" w:type="dxa"/>
            <w:tcBorders>
              <w:top w:val="nil"/>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uk-UA"/>
              </w:rPr>
            </w:pPr>
            <w:r w:rsidRPr="001E06B3">
              <w:rPr>
                <w:rFonts w:eastAsia="Calibri"/>
                <w:bCs/>
                <w:sz w:val="20"/>
                <w:szCs w:val="20"/>
                <w:lang w:val="uk-UA"/>
              </w:rPr>
              <w:t>Великобританія</w:t>
            </w:r>
          </w:p>
        </w:tc>
      </w:tr>
      <w:tr w:rsidR="007C11AA" w:rsidRPr="001E06B3" w:rsidTr="0085788B">
        <w:trPr>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rPr>
            </w:pPr>
            <w:r w:rsidRPr="001E06B3">
              <w:rPr>
                <w:rFonts w:eastAsia="Calibri"/>
                <w:bCs/>
                <w:sz w:val="20"/>
                <w:szCs w:val="20"/>
              </w:rPr>
              <w:t>5</w:t>
            </w:r>
          </w:p>
        </w:tc>
        <w:tc>
          <w:tcPr>
            <w:tcW w:w="2531"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r w:rsidRPr="001E06B3">
              <w:rPr>
                <w:rFonts w:eastAsia="Calibri"/>
                <w:bCs/>
                <w:sz w:val="20"/>
                <w:szCs w:val="20"/>
                <w:lang w:val="en-US"/>
              </w:rPr>
              <w:t>Sinopec Group</w:t>
            </w:r>
          </w:p>
        </w:tc>
        <w:tc>
          <w:tcPr>
            <w:tcW w:w="1846"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375,214</w:t>
            </w:r>
          </w:p>
        </w:tc>
        <w:tc>
          <w:tcPr>
            <w:tcW w:w="1854"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9,453</w:t>
            </w:r>
          </w:p>
        </w:tc>
        <w:tc>
          <w:tcPr>
            <w:tcW w:w="2371" w:type="dxa"/>
            <w:tcBorders>
              <w:top w:val="nil"/>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uk-UA"/>
              </w:rPr>
              <w:t>Китай</w:t>
            </w:r>
          </w:p>
        </w:tc>
      </w:tr>
      <w:tr w:rsidR="007C11AA" w:rsidRPr="001E06B3" w:rsidTr="0085788B">
        <w:trPr>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rPr>
            </w:pPr>
            <w:r w:rsidRPr="001E06B3">
              <w:rPr>
                <w:rFonts w:eastAsia="Calibri"/>
                <w:bCs/>
                <w:sz w:val="20"/>
                <w:szCs w:val="20"/>
              </w:rPr>
              <w:t>6</w:t>
            </w:r>
          </w:p>
        </w:tc>
        <w:tc>
          <w:tcPr>
            <w:tcW w:w="2531"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proofErr w:type="spellStart"/>
            <w:r w:rsidRPr="001E06B3">
              <w:rPr>
                <w:rFonts w:eastAsia="Calibri"/>
                <w:bCs/>
                <w:sz w:val="20"/>
                <w:szCs w:val="20"/>
                <w:lang w:val="uk-UA"/>
              </w:rPr>
              <w:t>China</w:t>
            </w:r>
            <w:proofErr w:type="spellEnd"/>
            <w:r w:rsidRPr="001E06B3">
              <w:rPr>
                <w:rFonts w:eastAsia="Calibri"/>
                <w:bCs/>
                <w:sz w:val="20"/>
                <w:szCs w:val="20"/>
                <w:lang w:val="uk-UA"/>
              </w:rPr>
              <w:t xml:space="preserve"> </w:t>
            </w:r>
            <w:proofErr w:type="spellStart"/>
            <w:r w:rsidRPr="001E06B3">
              <w:rPr>
                <w:rFonts w:eastAsia="Calibri"/>
                <w:bCs/>
                <w:sz w:val="20"/>
                <w:szCs w:val="20"/>
                <w:lang w:val="uk-UA"/>
              </w:rPr>
              <w:t>National</w:t>
            </w:r>
            <w:proofErr w:type="spellEnd"/>
            <w:r w:rsidRPr="001E06B3">
              <w:rPr>
                <w:rFonts w:eastAsia="Calibri"/>
                <w:bCs/>
                <w:sz w:val="20"/>
                <w:szCs w:val="20"/>
                <w:lang w:val="uk-UA"/>
              </w:rPr>
              <w:t xml:space="preserve"> </w:t>
            </w:r>
            <w:proofErr w:type="spellStart"/>
            <w:r w:rsidRPr="001E06B3">
              <w:rPr>
                <w:rFonts w:eastAsia="Calibri"/>
                <w:bCs/>
                <w:sz w:val="20"/>
                <w:szCs w:val="20"/>
                <w:lang w:val="uk-UA"/>
              </w:rPr>
              <w:t>Petroleum</w:t>
            </w:r>
            <w:proofErr w:type="spellEnd"/>
          </w:p>
        </w:tc>
        <w:tc>
          <w:tcPr>
            <w:tcW w:w="1846"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352,338</w:t>
            </w:r>
          </w:p>
        </w:tc>
        <w:tc>
          <w:tcPr>
            <w:tcW w:w="1854"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16,317</w:t>
            </w:r>
          </w:p>
        </w:tc>
        <w:tc>
          <w:tcPr>
            <w:tcW w:w="2371" w:type="dxa"/>
            <w:tcBorders>
              <w:top w:val="nil"/>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uk-UA"/>
              </w:rPr>
            </w:pPr>
            <w:r w:rsidRPr="001E06B3">
              <w:rPr>
                <w:rFonts w:eastAsia="Calibri"/>
                <w:bCs/>
                <w:sz w:val="20"/>
                <w:szCs w:val="20"/>
                <w:lang w:val="uk-UA"/>
              </w:rPr>
              <w:t>Китай</w:t>
            </w:r>
          </w:p>
        </w:tc>
      </w:tr>
      <w:tr w:rsidR="007C11AA" w:rsidRPr="001E06B3" w:rsidTr="0085788B">
        <w:trPr>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rPr>
            </w:pPr>
            <w:r w:rsidRPr="001E06B3">
              <w:rPr>
                <w:rFonts w:eastAsia="Calibri"/>
                <w:bCs/>
                <w:sz w:val="20"/>
                <w:szCs w:val="20"/>
              </w:rPr>
              <w:t>7</w:t>
            </w:r>
          </w:p>
        </w:tc>
        <w:tc>
          <w:tcPr>
            <w:tcW w:w="2531"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proofErr w:type="spellStart"/>
            <w:r w:rsidRPr="001E06B3">
              <w:rPr>
                <w:rFonts w:eastAsia="Calibri"/>
                <w:bCs/>
                <w:sz w:val="20"/>
                <w:szCs w:val="20"/>
              </w:rPr>
              <w:t>State</w:t>
            </w:r>
            <w:proofErr w:type="spellEnd"/>
            <w:r w:rsidRPr="001E06B3">
              <w:rPr>
                <w:rFonts w:eastAsia="Calibri"/>
                <w:bCs/>
                <w:sz w:val="20"/>
                <w:szCs w:val="20"/>
              </w:rPr>
              <w:t xml:space="preserve"> </w:t>
            </w:r>
            <w:proofErr w:type="spellStart"/>
            <w:r w:rsidRPr="001E06B3">
              <w:rPr>
                <w:rFonts w:eastAsia="Calibri"/>
                <w:bCs/>
                <w:sz w:val="20"/>
                <w:szCs w:val="20"/>
              </w:rPr>
              <w:t>Grid</w:t>
            </w:r>
            <w:proofErr w:type="spellEnd"/>
          </w:p>
        </w:tc>
        <w:tc>
          <w:tcPr>
            <w:tcW w:w="1846"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259,142</w:t>
            </w:r>
          </w:p>
        </w:tc>
        <w:tc>
          <w:tcPr>
            <w:tcW w:w="1854"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uk-UA"/>
              </w:rPr>
            </w:pPr>
            <w:r w:rsidRPr="001E06B3">
              <w:rPr>
                <w:rFonts w:eastAsia="Calibri"/>
                <w:bCs/>
                <w:sz w:val="20"/>
                <w:szCs w:val="20"/>
                <w:lang w:val="uk-UA"/>
              </w:rPr>
              <w:t>5,678</w:t>
            </w:r>
          </w:p>
        </w:tc>
        <w:tc>
          <w:tcPr>
            <w:tcW w:w="2371" w:type="dxa"/>
            <w:tcBorders>
              <w:top w:val="nil"/>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uk-UA"/>
              </w:rPr>
            </w:pPr>
            <w:r w:rsidRPr="001E06B3">
              <w:rPr>
                <w:rFonts w:eastAsia="Calibri"/>
                <w:bCs/>
                <w:sz w:val="20"/>
                <w:szCs w:val="20"/>
                <w:lang w:val="uk-UA"/>
              </w:rPr>
              <w:t>Китай</w:t>
            </w:r>
          </w:p>
        </w:tc>
      </w:tr>
      <w:tr w:rsidR="007C11AA" w:rsidRPr="001E06B3" w:rsidTr="0085788B">
        <w:trPr>
          <w:trHeight w:val="330"/>
        </w:trPr>
        <w:tc>
          <w:tcPr>
            <w:tcW w:w="968" w:type="dxa"/>
            <w:tcBorders>
              <w:top w:val="nil"/>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rPr>
            </w:pPr>
            <w:r w:rsidRPr="001E06B3">
              <w:rPr>
                <w:rFonts w:eastAsia="Calibri"/>
                <w:bCs/>
                <w:sz w:val="20"/>
                <w:szCs w:val="20"/>
              </w:rPr>
              <w:t>8</w:t>
            </w:r>
          </w:p>
        </w:tc>
        <w:tc>
          <w:tcPr>
            <w:tcW w:w="2531"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proofErr w:type="spellStart"/>
            <w:r w:rsidRPr="001E06B3">
              <w:rPr>
                <w:rFonts w:eastAsia="Calibri"/>
                <w:bCs/>
                <w:sz w:val="20"/>
                <w:szCs w:val="20"/>
              </w:rPr>
              <w:t>Chevron</w:t>
            </w:r>
            <w:proofErr w:type="spellEnd"/>
          </w:p>
        </w:tc>
        <w:tc>
          <w:tcPr>
            <w:tcW w:w="1846"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245,621</w:t>
            </w:r>
          </w:p>
        </w:tc>
        <w:tc>
          <w:tcPr>
            <w:tcW w:w="1854" w:type="dxa"/>
            <w:tcBorders>
              <w:top w:val="nil"/>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26,895</w:t>
            </w:r>
          </w:p>
        </w:tc>
        <w:tc>
          <w:tcPr>
            <w:tcW w:w="2371" w:type="dxa"/>
            <w:tcBorders>
              <w:top w:val="nil"/>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en-US"/>
              </w:rPr>
            </w:pPr>
            <w:r w:rsidRPr="001E06B3">
              <w:rPr>
                <w:sz w:val="20"/>
                <w:szCs w:val="20"/>
              </w:rPr>
              <w:t>США</w:t>
            </w:r>
          </w:p>
        </w:tc>
      </w:tr>
      <w:tr w:rsidR="007C11AA" w:rsidRPr="001E06B3" w:rsidTr="0085788B">
        <w:trPr>
          <w:trHeight w:val="330"/>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rPr>
            </w:pPr>
            <w:r w:rsidRPr="001E06B3">
              <w:rPr>
                <w:rFonts w:eastAsia="Calibri"/>
                <w:bCs/>
                <w:sz w:val="20"/>
                <w:szCs w:val="20"/>
              </w:rPr>
              <w:t>9</w:t>
            </w: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r w:rsidRPr="001E06B3">
              <w:rPr>
                <w:rFonts w:eastAsia="Calibri"/>
                <w:bCs/>
                <w:sz w:val="20"/>
                <w:szCs w:val="20"/>
                <w:lang w:val="en-US"/>
              </w:rPr>
              <w:t xml:space="preserve">ConocoPhillips </w:t>
            </w:r>
            <w:r w:rsidRPr="001E06B3">
              <w:rPr>
                <w:rFonts w:eastAsia="Calibri"/>
                <w:bCs/>
                <w:sz w:val="20"/>
                <w:szCs w:val="20"/>
                <w:lang w:val="uk-UA"/>
              </w:rPr>
              <w:t xml:space="preserve"> </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237,272</w:t>
            </w:r>
          </w:p>
        </w:tc>
        <w:tc>
          <w:tcPr>
            <w:tcW w:w="1854" w:type="dxa"/>
            <w:tcBorders>
              <w:top w:val="single" w:sz="4" w:space="0" w:color="auto"/>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12,436</w:t>
            </w:r>
          </w:p>
        </w:tc>
        <w:tc>
          <w:tcPr>
            <w:tcW w:w="2371" w:type="dxa"/>
            <w:tcBorders>
              <w:top w:val="single" w:sz="4" w:space="0" w:color="auto"/>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en-US"/>
              </w:rPr>
            </w:pPr>
            <w:r w:rsidRPr="001E06B3">
              <w:rPr>
                <w:sz w:val="20"/>
                <w:szCs w:val="20"/>
              </w:rPr>
              <w:t>США</w:t>
            </w:r>
          </w:p>
        </w:tc>
      </w:tr>
      <w:tr w:rsidR="007C11AA" w:rsidRPr="001E06B3" w:rsidTr="0085788B">
        <w:trPr>
          <w:trHeight w:val="330"/>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1AA" w:rsidRPr="001E06B3" w:rsidRDefault="007C11AA" w:rsidP="00242E8A">
            <w:pPr>
              <w:spacing w:line="240" w:lineRule="auto"/>
              <w:jc w:val="center"/>
              <w:rPr>
                <w:rFonts w:eastAsia="Calibri"/>
                <w:bCs/>
                <w:sz w:val="20"/>
                <w:szCs w:val="20"/>
              </w:rPr>
            </w:pPr>
            <w:r w:rsidRPr="001E06B3">
              <w:rPr>
                <w:rFonts w:eastAsia="Calibri"/>
                <w:bCs/>
                <w:sz w:val="20"/>
                <w:szCs w:val="20"/>
              </w:rPr>
              <w:t>10</w:t>
            </w: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rPr>
                <w:rFonts w:eastAsia="Calibri"/>
                <w:bCs/>
                <w:sz w:val="20"/>
                <w:szCs w:val="20"/>
                <w:lang w:val="uk-UA"/>
              </w:rPr>
            </w:pPr>
            <w:proofErr w:type="spellStart"/>
            <w:r w:rsidRPr="001E06B3">
              <w:rPr>
                <w:rFonts w:eastAsia="Calibri"/>
                <w:bCs/>
                <w:sz w:val="20"/>
                <w:szCs w:val="20"/>
              </w:rPr>
              <w:t>Toyota</w:t>
            </w:r>
            <w:proofErr w:type="spellEnd"/>
            <w:r w:rsidRPr="001E06B3">
              <w:rPr>
                <w:rFonts w:eastAsia="Calibri"/>
                <w:bCs/>
                <w:sz w:val="20"/>
                <w:szCs w:val="20"/>
              </w:rPr>
              <w:t xml:space="preserve"> </w:t>
            </w:r>
            <w:proofErr w:type="spellStart"/>
            <w:r w:rsidRPr="001E06B3">
              <w:rPr>
                <w:rFonts w:eastAsia="Calibri"/>
                <w:bCs/>
                <w:sz w:val="20"/>
                <w:szCs w:val="20"/>
              </w:rPr>
              <w:t>Motor</w:t>
            </w:r>
            <w:proofErr w:type="spellEnd"/>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235,364</w:t>
            </w:r>
          </w:p>
        </w:tc>
        <w:tc>
          <w:tcPr>
            <w:tcW w:w="1854" w:type="dxa"/>
            <w:tcBorders>
              <w:top w:val="single" w:sz="4" w:space="0" w:color="auto"/>
              <w:left w:val="nil"/>
              <w:bottom w:val="single" w:sz="4" w:space="0" w:color="auto"/>
              <w:right w:val="single" w:sz="4" w:space="0" w:color="auto"/>
            </w:tcBorders>
            <w:shd w:val="clear" w:color="auto" w:fill="auto"/>
            <w:noWrap/>
            <w:vAlign w:val="center"/>
          </w:tcPr>
          <w:p w:rsidR="007C11AA" w:rsidRPr="001E06B3" w:rsidRDefault="007C11AA" w:rsidP="00242E8A">
            <w:pPr>
              <w:spacing w:line="240" w:lineRule="auto"/>
              <w:jc w:val="center"/>
              <w:rPr>
                <w:rFonts w:eastAsia="Calibri"/>
                <w:bCs/>
                <w:sz w:val="20"/>
                <w:szCs w:val="20"/>
                <w:lang w:val="en-US"/>
              </w:rPr>
            </w:pPr>
            <w:r w:rsidRPr="001E06B3">
              <w:rPr>
                <w:rFonts w:eastAsia="Calibri"/>
                <w:bCs/>
                <w:sz w:val="20"/>
                <w:szCs w:val="20"/>
                <w:lang w:val="en-US"/>
              </w:rPr>
              <w:t>3,591</w:t>
            </w:r>
          </w:p>
        </w:tc>
        <w:tc>
          <w:tcPr>
            <w:tcW w:w="2371" w:type="dxa"/>
            <w:tcBorders>
              <w:top w:val="single" w:sz="4" w:space="0" w:color="auto"/>
              <w:left w:val="nil"/>
              <w:bottom w:val="single" w:sz="4" w:space="0" w:color="auto"/>
              <w:right w:val="single" w:sz="4" w:space="0" w:color="auto"/>
            </w:tcBorders>
          </w:tcPr>
          <w:p w:rsidR="007C11AA" w:rsidRPr="001E06B3" w:rsidRDefault="007C11AA" w:rsidP="00242E8A">
            <w:pPr>
              <w:spacing w:line="240" w:lineRule="auto"/>
              <w:jc w:val="center"/>
              <w:rPr>
                <w:rFonts w:eastAsia="Calibri"/>
                <w:bCs/>
                <w:sz w:val="20"/>
                <w:szCs w:val="20"/>
                <w:lang w:val="uk-UA"/>
              </w:rPr>
            </w:pPr>
            <w:r w:rsidRPr="001E06B3">
              <w:rPr>
                <w:rFonts w:eastAsia="Calibri"/>
                <w:bCs/>
                <w:sz w:val="20"/>
                <w:szCs w:val="20"/>
                <w:lang w:val="uk-UA"/>
              </w:rPr>
              <w:t>Японія</w:t>
            </w:r>
          </w:p>
        </w:tc>
      </w:tr>
    </w:tbl>
    <w:p w:rsidR="007C11AA" w:rsidRPr="001E06B3" w:rsidRDefault="007C11AA" w:rsidP="007C11AA">
      <w:pPr>
        <w:tabs>
          <w:tab w:val="left" w:pos="1260"/>
        </w:tabs>
        <w:autoSpaceDE w:val="0"/>
        <w:autoSpaceDN w:val="0"/>
        <w:adjustRightInd w:val="0"/>
        <w:spacing w:line="240" w:lineRule="auto"/>
        <w:jc w:val="both"/>
        <w:rPr>
          <w:rFonts w:eastAsia="Calibri"/>
          <w:snapToGrid w:val="0"/>
          <w:sz w:val="20"/>
          <w:szCs w:val="20"/>
          <w:bdr w:val="none" w:sz="0" w:space="0" w:color="000000"/>
          <w:shd w:val="clear" w:color="000000" w:fill="000000"/>
          <w:lang w:val="uk-UA"/>
        </w:rPr>
      </w:pPr>
      <w:r w:rsidRPr="001E06B3">
        <w:rPr>
          <w:sz w:val="20"/>
          <w:szCs w:val="20"/>
          <w:lang w:val="uk-UA"/>
        </w:rPr>
        <w:t>Примітка. С</w:t>
      </w:r>
      <w:r w:rsidRPr="001E06B3">
        <w:rPr>
          <w:rFonts w:eastAsia="Calibri"/>
          <w:sz w:val="20"/>
          <w:szCs w:val="20"/>
          <w:lang w:val="uk-UA"/>
        </w:rPr>
        <w:t>кладено автором за даними журналу</w:t>
      </w:r>
      <w:r w:rsidRPr="001E06B3">
        <w:rPr>
          <w:rFonts w:eastAsia="Calibri"/>
          <w:sz w:val="20"/>
          <w:szCs w:val="20"/>
        </w:rPr>
        <w:t xml:space="preserve"> </w:t>
      </w:r>
      <w:r w:rsidRPr="001E06B3">
        <w:rPr>
          <w:rFonts w:eastAsia="Calibri"/>
          <w:sz w:val="20"/>
          <w:szCs w:val="20"/>
          <w:lang w:val="en-US"/>
        </w:rPr>
        <w:t>The</w:t>
      </w:r>
      <w:r w:rsidRPr="001E06B3">
        <w:rPr>
          <w:rFonts w:eastAsia="Calibri"/>
          <w:sz w:val="20"/>
          <w:szCs w:val="20"/>
        </w:rPr>
        <w:t xml:space="preserve"> </w:t>
      </w:r>
      <w:r w:rsidRPr="001E06B3">
        <w:rPr>
          <w:rFonts w:eastAsia="Calibri"/>
          <w:sz w:val="20"/>
          <w:szCs w:val="20"/>
          <w:lang w:val="en-US"/>
        </w:rPr>
        <w:t>Fortune</w:t>
      </w:r>
      <w:r w:rsidRPr="001E06B3">
        <w:rPr>
          <w:rFonts w:eastAsia="Calibri"/>
          <w:sz w:val="20"/>
          <w:szCs w:val="20"/>
        </w:rPr>
        <w:t xml:space="preserve"> 500, 20</w:t>
      </w:r>
      <w:r w:rsidRPr="001E06B3">
        <w:rPr>
          <w:rFonts w:eastAsia="Calibri"/>
          <w:sz w:val="20"/>
          <w:szCs w:val="20"/>
          <w:lang w:val="uk-UA"/>
        </w:rPr>
        <w:t>12</w:t>
      </w:r>
      <w:r w:rsidRPr="001E06B3">
        <w:rPr>
          <w:sz w:val="20"/>
          <w:szCs w:val="20"/>
          <w:lang w:val="uk-UA"/>
        </w:rPr>
        <w:t xml:space="preserve"> </w:t>
      </w:r>
      <w:r w:rsidRPr="001E06B3">
        <w:rPr>
          <w:rFonts w:eastAsia="Calibri"/>
          <w:sz w:val="20"/>
          <w:szCs w:val="20"/>
        </w:rPr>
        <w:t>р</w:t>
      </w:r>
      <w:proofErr w:type="spellStart"/>
      <w:r w:rsidRPr="001E06B3">
        <w:rPr>
          <w:sz w:val="20"/>
          <w:szCs w:val="20"/>
          <w:lang w:val="uk-UA"/>
        </w:rPr>
        <w:t>ік</w:t>
      </w:r>
      <w:proofErr w:type="spellEnd"/>
      <w:r w:rsidRPr="001E06B3">
        <w:rPr>
          <w:rFonts w:eastAsia="Calibri"/>
          <w:sz w:val="20"/>
          <w:szCs w:val="20"/>
        </w:rPr>
        <w:t>.</w:t>
      </w:r>
    </w:p>
    <w:p w:rsidR="007C11AA" w:rsidRPr="001E06B3" w:rsidRDefault="007C11AA" w:rsidP="007C11AA">
      <w:pPr>
        <w:spacing w:line="240" w:lineRule="auto"/>
        <w:ind w:firstLine="709"/>
        <w:jc w:val="both"/>
        <w:rPr>
          <w:sz w:val="20"/>
          <w:szCs w:val="20"/>
          <w:lang w:val="uk-UA"/>
        </w:rPr>
      </w:pPr>
    </w:p>
    <w:p w:rsidR="007C11AA" w:rsidRPr="001E06B3" w:rsidRDefault="007C11AA" w:rsidP="007C11AA">
      <w:pPr>
        <w:spacing w:line="240" w:lineRule="auto"/>
        <w:ind w:firstLine="709"/>
        <w:jc w:val="both"/>
        <w:rPr>
          <w:rStyle w:val="longtext"/>
          <w:sz w:val="20"/>
          <w:szCs w:val="20"/>
          <w:lang w:val="uk-UA"/>
        </w:rPr>
      </w:pPr>
    </w:p>
    <w:p w:rsidR="007C11AA" w:rsidRPr="001E06B3" w:rsidRDefault="007C11AA" w:rsidP="0085788B">
      <w:pPr>
        <w:spacing w:line="240" w:lineRule="auto"/>
        <w:ind w:firstLine="709"/>
        <w:jc w:val="both"/>
        <w:rPr>
          <w:rStyle w:val="longtext"/>
          <w:rFonts w:eastAsia="Calibri"/>
          <w:sz w:val="20"/>
          <w:szCs w:val="20"/>
          <w:lang w:val="uk-UA"/>
        </w:rPr>
      </w:pPr>
      <w:proofErr w:type="spellStart"/>
      <w:r w:rsidRPr="001E06B3">
        <w:rPr>
          <w:rFonts w:eastAsia="Calibri"/>
          <w:sz w:val="20"/>
          <w:szCs w:val="20"/>
          <w:lang w:val="uk-UA"/>
        </w:rPr>
        <w:t>Royal</w:t>
      </w:r>
      <w:proofErr w:type="spellEnd"/>
      <w:r w:rsidRPr="001E06B3">
        <w:rPr>
          <w:rFonts w:eastAsia="Calibri"/>
          <w:sz w:val="20"/>
          <w:szCs w:val="20"/>
          <w:lang w:val="uk-UA"/>
        </w:rPr>
        <w:t xml:space="preserve"> </w:t>
      </w:r>
      <w:proofErr w:type="spellStart"/>
      <w:r w:rsidRPr="001E06B3">
        <w:rPr>
          <w:rFonts w:eastAsia="Calibri"/>
          <w:sz w:val="20"/>
          <w:szCs w:val="20"/>
          <w:lang w:val="uk-UA"/>
        </w:rPr>
        <w:t>Dutch</w:t>
      </w:r>
      <w:proofErr w:type="spellEnd"/>
      <w:r w:rsidRPr="001E06B3">
        <w:rPr>
          <w:rFonts w:eastAsia="Calibri"/>
          <w:sz w:val="20"/>
          <w:szCs w:val="20"/>
          <w:lang w:val="uk-UA"/>
        </w:rPr>
        <w:t xml:space="preserve"> </w:t>
      </w:r>
      <w:proofErr w:type="spellStart"/>
      <w:r w:rsidRPr="001E06B3">
        <w:rPr>
          <w:rFonts w:eastAsia="Calibri"/>
          <w:sz w:val="20"/>
          <w:szCs w:val="20"/>
          <w:lang w:val="uk-UA"/>
        </w:rPr>
        <w:t>Shell</w:t>
      </w:r>
      <w:proofErr w:type="spellEnd"/>
      <w:r w:rsidRPr="001E06B3">
        <w:rPr>
          <w:rFonts w:eastAsia="Calibri"/>
          <w:sz w:val="20"/>
          <w:szCs w:val="20"/>
          <w:lang w:val="uk-UA"/>
        </w:rPr>
        <w:t xml:space="preserve"> — публічна компанія, відома як просто </w:t>
      </w:r>
      <w:proofErr w:type="spellStart"/>
      <w:r w:rsidRPr="001E06B3">
        <w:rPr>
          <w:rFonts w:eastAsia="Calibri"/>
          <w:sz w:val="20"/>
          <w:szCs w:val="20"/>
          <w:lang w:val="uk-UA"/>
        </w:rPr>
        <w:t>Shell</w:t>
      </w:r>
      <w:proofErr w:type="spellEnd"/>
      <w:r w:rsidRPr="001E06B3">
        <w:rPr>
          <w:rFonts w:eastAsia="Calibri"/>
          <w:sz w:val="20"/>
          <w:szCs w:val="20"/>
          <w:lang w:val="uk-UA"/>
        </w:rPr>
        <w:t xml:space="preserve"> (</w:t>
      </w:r>
      <w:proofErr w:type="spellStart"/>
      <w:r w:rsidRPr="001E06B3">
        <w:rPr>
          <w:rFonts w:eastAsia="Calibri"/>
          <w:sz w:val="20"/>
          <w:szCs w:val="20"/>
          <w:lang w:val="uk-UA"/>
        </w:rPr>
        <w:t>Шелл</w:t>
      </w:r>
      <w:proofErr w:type="spellEnd"/>
      <w:r w:rsidRPr="001E06B3">
        <w:rPr>
          <w:rFonts w:eastAsia="Calibri"/>
          <w:sz w:val="20"/>
          <w:szCs w:val="20"/>
          <w:lang w:val="uk-UA"/>
        </w:rPr>
        <w:t>) — транснаціональна корпорація з головною штаб-квартирою в Гаазі (Нідерланди), голландського та британського походження. Слово «</w:t>
      </w:r>
      <w:proofErr w:type="spellStart"/>
      <w:r w:rsidRPr="001E06B3">
        <w:rPr>
          <w:rFonts w:eastAsia="Calibri"/>
          <w:sz w:val="20"/>
          <w:szCs w:val="20"/>
          <w:lang w:val="uk-UA"/>
        </w:rPr>
        <w:t>Royal</w:t>
      </w:r>
      <w:proofErr w:type="spellEnd"/>
      <w:r w:rsidRPr="001E06B3">
        <w:rPr>
          <w:rFonts w:eastAsia="Calibri"/>
          <w:sz w:val="20"/>
          <w:szCs w:val="20"/>
          <w:lang w:val="uk-UA"/>
        </w:rPr>
        <w:t>» у назві компанії означає, що вона нагороджена почесним королівським титулом «</w:t>
      </w:r>
      <w:proofErr w:type="spellStart"/>
      <w:r w:rsidRPr="001E06B3">
        <w:rPr>
          <w:rFonts w:eastAsia="Calibri"/>
          <w:sz w:val="20"/>
          <w:szCs w:val="20"/>
          <w:lang w:val="uk-UA"/>
        </w:rPr>
        <w:t>Koninklijk</w:t>
      </w:r>
      <w:proofErr w:type="spellEnd"/>
      <w:r w:rsidRPr="001E06B3">
        <w:rPr>
          <w:rFonts w:eastAsia="Calibri"/>
          <w:sz w:val="20"/>
          <w:szCs w:val="20"/>
          <w:lang w:val="uk-UA"/>
        </w:rPr>
        <w:t>», яким відзначаються компанії національної важливості для Нідерландів.</w:t>
      </w:r>
      <w:r w:rsidR="0085788B" w:rsidRPr="001E06B3">
        <w:rPr>
          <w:rFonts w:eastAsia="Calibri"/>
          <w:sz w:val="20"/>
          <w:szCs w:val="20"/>
          <w:lang w:val="uk-UA"/>
        </w:rPr>
        <w:t xml:space="preserve"> </w:t>
      </w:r>
      <w:r w:rsidRPr="001E06B3">
        <w:rPr>
          <w:rFonts w:eastAsia="Calibri"/>
          <w:sz w:val="20"/>
          <w:szCs w:val="20"/>
          <w:lang w:val="uk-UA"/>
        </w:rPr>
        <w:t xml:space="preserve">Основним бізнесом компанії є розвідка, видобування, переробка, транспортування та збут вуглеводів, (нафти і природного газу). </w:t>
      </w:r>
      <w:proofErr w:type="spellStart"/>
      <w:r w:rsidRPr="001E06B3">
        <w:rPr>
          <w:rFonts w:eastAsia="Calibri"/>
          <w:sz w:val="20"/>
          <w:szCs w:val="20"/>
          <w:lang w:val="uk-UA"/>
        </w:rPr>
        <w:t>Shell</w:t>
      </w:r>
      <w:proofErr w:type="spellEnd"/>
      <w:r w:rsidRPr="001E06B3">
        <w:rPr>
          <w:rFonts w:eastAsia="Calibri"/>
          <w:sz w:val="20"/>
          <w:szCs w:val="20"/>
          <w:lang w:val="uk-UA"/>
        </w:rPr>
        <w:t xml:space="preserve"> також має значний нафтохімічний бізнес («</w:t>
      </w:r>
      <w:proofErr w:type="spellStart"/>
      <w:r w:rsidRPr="001E06B3">
        <w:rPr>
          <w:rFonts w:eastAsia="Calibri"/>
          <w:sz w:val="20"/>
          <w:szCs w:val="20"/>
          <w:lang w:val="uk-UA"/>
        </w:rPr>
        <w:t>Shell</w:t>
      </w:r>
      <w:proofErr w:type="spellEnd"/>
      <w:r w:rsidRPr="001E06B3">
        <w:rPr>
          <w:rFonts w:eastAsia="Calibri"/>
          <w:sz w:val="20"/>
          <w:szCs w:val="20"/>
          <w:lang w:val="uk-UA"/>
        </w:rPr>
        <w:t xml:space="preserve"> </w:t>
      </w:r>
      <w:proofErr w:type="spellStart"/>
      <w:r w:rsidRPr="001E06B3">
        <w:rPr>
          <w:rFonts w:eastAsia="Calibri"/>
          <w:sz w:val="20"/>
          <w:szCs w:val="20"/>
          <w:lang w:val="uk-UA"/>
        </w:rPr>
        <w:t>Chemicals</w:t>
      </w:r>
      <w:proofErr w:type="spellEnd"/>
      <w:r w:rsidRPr="001E06B3">
        <w:rPr>
          <w:rFonts w:eastAsia="Calibri"/>
          <w:sz w:val="20"/>
          <w:szCs w:val="20"/>
          <w:lang w:val="uk-UA"/>
        </w:rPr>
        <w:t>»), в секторі відновлюваних джерел енергії розвиваються можливості використання вітру, водню та сонця. «</w:t>
      </w:r>
      <w:proofErr w:type="spellStart"/>
      <w:r w:rsidRPr="001E06B3">
        <w:rPr>
          <w:rFonts w:eastAsia="Calibri"/>
          <w:sz w:val="20"/>
          <w:szCs w:val="20"/>
          <w:lang w:val="uk-UA"/>
        </w:rPr>
        <w:t>Shell</w:t>
      </w:r>
      <w:proofErr w:type="spellEnd"/>
      <w:r w:rsidRPr="001E06B3">
        <w:rPr>
          <w:rFonts w:eastAsia="Calibri"/>
          <w:sz w:val="20"/>
          <w:szCs w:val="20"/>
          <w:lang w:val="uk-UA"/>
        </w:rPr>
        <w:t xml:space="preserve">» зареєстрована у Великій Британії із своєю корпоративною штаб-квартирою в Гаазі, її податкове розташування — Нідерланди, і її головні біржі реєстрації акцій — Лондонської фондової біржі та </w:t>
      </w:r>
      <w:proofErr w:type="spellStart"/>
      <w:r w:rsidRPr="001E06B3">
        <w:rPr>
          <w:rFonts w:eastAsia="Calibri"/>
          <w:sz w:val="20"/>
          <w:szCs w:val="20"/>
          <w:lang w:val="uk-UA"/>
        </w:rPr>
        <w:t>Euronext</w:t>
      </w:r>
      <w:proofErr w:type="spellEnd"/>
      <w:r w:rsidRPr="001E06B3">
        <w:rPr>
          <w:rFonts w:eastAsia="Calibri"/>
          <w:sz w:val="20"/>
          <w:szCs w:val="20"/>
          <w:lang w:val="uk-UA"/>
        </w:rPr>
        <w:t xml:space="preserve"> (Амстердам).</w:t>
      </w:r>
      <w:r w:rsidR="0085788B" w:rsidRPr="001E06B3">
        <w:rPr>
          <w:rFonts w:eastAsia="Calibri"/>
          <w:sz w:val="20"/>
          <w:szCs w:val="20"/>
          <w:lang w:val="uk-UA"/>
        </w:rPr>
        <w:t xml:space="preserve"> </w:t>
      </w:r>
      <w:r w:rsidRPr="001E06B3">
        <w:rPr>
          <w:rFonts w:eastAsia="Calibri"/>
          <w:sz w:val="20"/>
          <w:szCs w:val="20"/>
          <w:lang w:val="uk-UA"/>
        </w:rPr>
        <w:t>«</w:t>
      </w:r>
      <w:proofErr w:type="spellStart"/>
      <w:r w:rsidRPr="001E06B3">
        <w:rPr>
          <w:rFonts w:eastAsia="Calibri"/>
          <w:sz w:val="20"/>
          <w:szCs w:val="20"/>
          <w:lang w:val="uk-UA"/>
        </w:rPr>
        <w:t>Shell</w:t>
      </w:r>
      <w:proofErr w:type="spellEnd"/>
      <w:r w:rsidRPr="001E06B3">
        <w:rPr>
          <w:rFonts w:eastAsia="Calibri"/>
          <w:sz w:val="20"/>
          <w:szCs w:val="20"/>
          <w:lang w:val="uk-UA"/>
        </w:rPr>
        <w:t>» працює більш ніж в 140 країнах</w:t>
      </w:r>
      <w:r w:rsidR="0085788B" w:rsidRPr="001E06B3">
        <w:rPr>
          <w:rFonts w:eastAsia="Calibri"/>
          <w:sz w:val="20"/>
          <w:szCs w:val="20"/>
          <w:lang w:val="uk-UA"/>
        </w:rPr>
        <w:t>.</w:t>
      </w:r>
      <w:r w:rsidRPr="001E06B3">
        <w:rPr>
          <w:rStyle w:val="longtext"/>
          <w:sz w:val="20"/>
          <w:szCs w:val="20"/>
          <w:lang w:val="uk-UA"/>
        </w:rPr>
        <w:t xml:space="preserve"> </w:t>
      </w:r>
    </w:p>
    <w:p w:rsidR="007C11AA" w:rsidRPr="001E06B3" w:rsidRDefault="007C11AA" w:rsidP="007C11AA">
      <w:pPr>
        <w:spacing w:line="240" w:lineRule="auto"/>
        <w:ind w:firstLine="709"/>
        <w:jc w:val="both"/>
        <w:rPr>
          <w:rStyle w:val="longtext"/>
          <w:sz w:val="20"/>
          <w:szCs w:val="20"/>
          <w:lang w:val="uk-UA"/>
        </w:rPr>
      </w:pPr>
      <w:r w:rsidRPr="001E06B3">
        <w:rPr>
          <w:rStyle w:val="longtext"/>
          <w:sz w:val="20"/>
          <w:szCs w:val="20"/>
          <w:lang w:val="uk-UA"/>
        </w:rPr>
        <w:t xml:space="preserve">У минулому році </w:t>
      </w:r>
      <w:proofErr w:type="spellStart"/>
      <w:r w:rsidRPr="001E06B3">
        <w:rPr>
          <w:rStyle w:val="longtext"/>
          <w:sz w:val="20"/>
          <w:szCs w:val="20"/>
          <w:lang w:val="uk-UA"/>
        </w:rPr>
        <w:t>Shell</w:t>
      </w:r>
      <w:proofErr w:type="spellEnd"/>
      <w:r w:rsidRPr="001E06B3">
        <w:rPr>
          <w:rStyle w:val="longtext"/>
          <w:sz w:val="20"/>
          <w:szCs w:val="20"/>
          <w:lang w:val="uk-UA"/>
        </w:rPr>
        <w:t xml:space="preserve"> запам'яталася, в першу чергу, початком реалізації інвестиційних планів з буріння нафтових свердловин на арктичному шельфі. У перспективі 10-20 років добути в Арктиці нафту повинна стати основою бізнесу компанії. </w:t>
      </w:r>
    </w:p>
    <w:p w:rsidR="007C11AA" w:rsidRPr="001E06B3" w:rsidRDefault="007C11AA" w:rsidP="007C11AA">
      <w:pPr>
        <w:spacing w:line="240" w:lineRule="auto"/>
        <w:ind w:firstLine="709"/>
        <w:jc w:val="both"/>
        <w:rPr>
          <w:rStyle w:val="longtext"/>
          <w:sz w:val="20"/>
          <w:szCs w:val="20"/>
          <w:lang w:val="uk-UA"/>
        </w:rPr>
      </w:pPr>
      <w:r w:rsidRPr="001E06B3">
        <w:rPr>
          <w:rStyle w:val="longtext"/>
          <w:sz w:val="20"/>
          <w:szCs w:val="20"/>
          <w:lang w:val="uk-UA"/>
        </w:rPr>
        <w:t xml:space="preserve">Загальна виручка всіх компаній, що увійшли до списку </w:t>
      </w:r>
      <w:proofErr w:type="spellStart"/>
      <w:r w:rsidRPr="001E06B3">
        <w:rPr>
          <w:rStyle w:val="longtext"/>
          <w:sz w:val="20"/>
          <w:szCs w:val="20"/>
          <w:lang w:val="uk-UA"/>
        </w:rPr>
        <w:t>Fortune</w:t>
      </w:r>
      <w:proofErr w:type="spellEnd"/>
      <w:r w:rsidRPr="001E06B3">
        <w:rPr>
          <w:rStyle w:val="longtext"/>
          <w:sz w:val="20"/>
          <w:szCs w:val="20"/>
          <w:lang w:val="uk-UA"/>
        </w:rPr>
        <w:t xml:space="preserve"> 500, склала  29,5 трлн. </w:t>
      </w:r>
      <w:r w:rsidRPr="001E06B3">
        <w:rPr>
          <w:sz w:val="20"/>
          <w:szCs w:val="20"/>
        </w:rPr>
        <w:t>дол. США</w:t>
      </w:r>
      <w:r w:rsidRPr="001E06B3">
        <w:rPr>
          <w:rStyle w:val="longtext"/>
          <w:sz w:val="20"/>
          <w:szCs w:val="20"/>
          <w:lang w:val="uk-UA"/>
        </w:rPr>
        <w:t xml:space="preserve">, що на 13,2% більше, ніж у 2011 році. Загальний прибуток склав  1,6 трлн. </w:t>
      </w:r>
      <w:r w:rsidRPr="001E06B3">
        <w:rPr>
          <w:sz w:val="20"/>
          <w:szCs w:val="20"/>
        </w:rPr>
        <w:t>дол. США</w:t>
      </w:r>
      <w:r w:rsidR="00FB5C5C" w:rsidRPr="001E06B3">
        <w:rPr>
          <w:sz w:val="20"/>
          <w:szCs w:val="20"/>
          <w:lang w:val="uk-UA"/>
        </w:rPr>
        <w:t xml:space="preserve"> [4]</w:t>
      </w:r>
      <w:r w:rsidRPr="001E06B3">
        <w:rPr>
          <w:rStyle w:val="longtext"/>
          <w:sz w:val="20"/>
          <w:szCs w:val="20"/>
          <w:lang w:val="uk-UA"/>
        </w:rPr>
        <w:t xml:space="preserve">. </w:t>
      </w:r>
    </w:p>
    <w:p w:rsidR="007C11AA" w:rsidRPr="001E06B3" w:rsidRDefault="007C11AA" w:rsidP="007C11AA">
      <w:pPr>
        <w:spacing w:line="240" w:lineRule="auto"/>
        <w:ind w:firstLine="709"/>
        <w:jc w:val="both"/>
        <w:rPr>
          <w:rStyle w:val="longtext"/>
          <w:sz w:val="20"/>
          <w:szCs w:val="20"/>
          <w:lang w:val="uk-UA"/>
        </w:rPr>
      </w:pPr>
      <w:r w:rsidRPr="001E06B3">
        <w:rPr>
          <w:rStyle w:val="longtext"/>
          <w:sz w:val="20"/>
          <w:szCs w:val="20"/>
          <w:lang w:val="uk-UA"/>
        </w:rPr>
        <w:t xml:space="preserve">У першу десятку рейтингу крім </w:t>
      </w:r>
      <w:proofErr w:type="spellStart"/>
      <w:r w:rsidRPr="001E06B3">
        <w:rPr>
          <w:rStyle w:val="longtext"/>
          <w:sz w:val="20"/>
          <w:szCs w:val="20"/>
          <w:lang w:val="uk-UA"/>
        </w:rPr>
        <w:t>Royal</w:t>
      </w:r>
      <w:proofErr w:type="spellEnd"/>
      <w:r w:rsidRPr="001E06B3">
        <w:rPr>
          <w:rStyle w:val="longtext"/>
          <w:sz w:val="20"/>
          <w:szCs w:val="20"/>
          <w:lang w:val="uk-UA"/>
        </w:rPr>
        <w:t xml:space="preserve"> </w:t>
      </w:r>
      <w:proofErr w:type="spellStart"/>
      <w:r w:rsidRPr="001E06B3">
        <w:rPr>
          <w:rStyle w:val="longtext"/>
          <w:sz w:val="20"/>
          <w:szCs w:val="20"/>
          <w:lang w:val="uk-UA"/>
        </w:rPr>
        <w:t>Dutch</w:t>
      </w:r>
      <w:proofErr w:type="spellEnd"/>
      <w:r w:rsidRPr="001E06B3">
        <w:rPr>
          <w:rStyle w:val="longtext"/>
          <w:sz w:val="20"/>
          <w:szCs w:val="20"/>
          <w:lang w:val="uk-UA"/>
        </w:rPr>
        <w:t xml:space="preserve"> </w:t>
      </w:r>
      <w:proofErr w:type="spellStart"/>
      <w:r w:rsidRPr="001E06B3">
        <w:rPr>
          <w:rStyle w:val="longtext"/>
          <w:sz w:val="20"/>
          <w:szCs w:val="20"/>
          <w:lang w:val="uk-UA"/>
        </w:rPr>
        <w:t>Shell</w:t>
      </w:r>
      <w:proofErr w:type="spellEnd"/>
      <w:r w:rsidRPr="001E06B3">
        <w:rPr>
          <w:rStyle w:val="longtext"/>
          <w:sz w:val="20"/>
          <w:szCs w:val="20"/>
          <w:lang w:val="uk-UA"/>
        </w:rPr>
        <w:t xml:space="preserve">, входять </w:t>
      </w:r>
      <w:proofErr w:type="spellStart"/>
      <w:r w:rsidRPr="001E06B3">
        <w:rPr>
          <w:rStyle w:val="longtext"/>
          <w:sz w:val="20"/>
          <w:szCs w:val="20"/>
          <w:lang w:val="uk-UA"/>
        </w:rPr>
        <w:t>Exxon</w:t>
      </w:r>
      <w:proofErr w:type="spellEnd"/>
      <w:r w:rsidRPr="001E06B3">
        <w:rPr>
          <w:rStyle w:val="longtext"/>
          <w:sz w:val="20"/>
          <w:szCs w:val="20"/>
          <w:lang w:val="uk-UA"/>
        </w:rPr>
        <w:t xml:space="preserve"> </w:t>
      </w:r>
      <w:proofErr w:type="spellStart"/>
      <w:r w:rsidRPr="001E06B3">
        <w:rPr>
          <w:rStyle w:val="longtext"/>
          <w:sz w:val="20"/>
          <w:szCs w:val="20"/>
          <w:lang w:val="uk-UA"/>
        </w:rPr>
        <w:t>Mobil</w:t>
      </w:r>
      <w:proofErr w:type="spellEnd"/>
      <w:r w:rsidRPr="001E06B3">
        <w:rPr>
          <w:rStyle w:val="longtext"/>
          <w:sz w:val="20"/>
          <w:szCs w:val="20"/>
          <w:lang w:val="uk-UA"/>
        </w:rPr>
        <w:t xml:space="preserve"> (США), </w:t>
      </w:r>
      <w:proofErr w:type="spellStart"/>
      <w:r w:rsidRPr="001E06B3">
        <w:rPr>
          <w:rStyle w:val="longtext"/>
          <w:sz w:val="20"/>
          <w:szCs w:val="20"/>
          <w:lang w:val="uk-UA"/>
        </w:rPr>
        <w:t>Wal-Mart</w:t>
      </w:r>
      <w:proofErr w:type="spellEnd"/>
      <w:r w:rsidRPr="001E06B3">
        <w:rPr>
          <w:rStyle w:val="longtext"/>
          <w:sz w:val="20"/>
          <w:szCs w:val="20"/>
          <w:lang w:val="uk-UA"/>
        </w:rPr>
        <w:t xml:space="preserve"> (США), ВВ (Великобританія), </w:t>
      </w:r>
      <w:proofErr w:type="spellStart"/>
      <w:r w:rsidRPr="001E06B3">
        <w:rPr>
          <w:rStyle w:val="longtext"/>
          <w:sz w:val="20"/>
          <w:szCs w:val="20"/>
          <w:lang w:val="uk-UA"/>
        </w:rPr>
        <w:t>Sinopec</w:t>
      </w:r>
      <w:proofErr w:type="spellEnd"/>
      <w:r w:rsidRPr="001E06B3">
        <w:rPr>
          <w:rStyle w:val="longtext"/>
          <w:sz w:val="20"/>
          <w:szCs w:val="20"/>
          <w:lang w:val="uk-UA"/>
        </w:rPr>
        <w:t xml:space="preserve"> </w:t>
      </w:r>
      <w:proofErr w:type="spellStart"/>
      <w:r w:rsidRPr="001E06B3">
        <w:rPr>
          <w:rStyle w:val="longtext"/>
          <w:sz w:val="20"/>
          <w:szCs w:val="20"/>
          <w:lang w:val="uk-UA"/>
        </w:rPr>
        <w:t>Group</w:t>
      </w:r>
      <w:proofErr w:type="spellEnd"/>
      <w:r w:rsidRPr="001E06B3">
        <w:rPr>
          <w:rStyle w:val="longtext"/>
          <w:sz w:val="20"/>
          <w:szCs w:val="20"/>
          <w:lang w:val="uk-UA"/>
        </w:rPr>
        <w:t xml:space="preserve"> (Китай), Китайська національна нафтова (Китай), </w:t>
      </w:r>
      <w:proofErr w:type="spellStart"/>
      <w:r w:rsidRPr="001E06B3">
        <w:rPr>
          <w:rStyle w:val="longtext"/>
          <w:sz w:val="20"/>
          <w:szCs w:val="20"/>
          <w:lang w:val="uk-UA"/>
        </w:rPr>
        <w:t>State</w:t>
      </w:r>
      <w:proofErr w:type="spellEnd"/>
      <w:r w:rsidRPr="001E06B3">
        <w:rPr>
          <w:rStyle w:val="longtext"/>
          <w:sz w:val="20"/>
          <w:szCs w:val="20"/>
          <w:lang w:val="uk-UA"/>
        </w:rPr>
        <w:t xml:space="preserve"> </w:t>
      </w:r>
      <w:proofErr w:type="spellStart"/>
      <w:r w:rsidRPr="001E06B3">
        <w:rPr>
          <w:rStyle w:val="longtext"/>
          <w:sz w:val="20"/>
          <w:szCs w:val="20"/>
          <w:lang w:val="uk-UA"/>
        </w:rPr>
        <w:t>Grid</w:t>
      </w:r>
      <w:proofErr w:type="spellEnd"/>
      <w:r w:rsidRPr="001E06B3">
        <w:rPr>
          <w:rStyle w:val="longtext"/>
          <w:sz w:val="20"/>
          <w:szCs w:val="20"/>
          <w:lang w:val="uk-UA"/>
        </w:rPr>
        <w:t xml:space="preserve"> (Китай), </w:t>
      </w:r>
      <w:proofErr w:type="spellStart"/>
      <w:r w:rsidRPr="001E06B3">
        <w:rPr>
          <w:rStyle w:val="longtext"/>
          <w:sz w:val="20"/>
          <w:szCs w:val="20"/>
          <w:lang w:val="uk-UA"/>
        </w:rPr>
        <w:t>Chevron</w:t>
      </w:r>
      <w:proofErr w:type="spellEnd"/>
      <w:r w:rsidRPr="001E06B3">
        <w:rPr>
          <w:rStyle w:val="longtext"/>
          <w:sz w:val="20"/>
          <w:szCs w:val="20"/>
          <w:lang w:val="uk-UA"/>
        </w:rPr>
        <w:t xml:space="preserve"> (США), </w:t>
      </w:r>
      <w:proofErr w:type="spellStart"/>
      <w:r w:rsidRPr="001E06B3">
        <w:rPr>
          <w:rStyle w:val="longtext"/>
          <w:sz w:val="20"/>
          <w:szCs w:val="20"/>
          <w:lang w:val="uk-UA"/>
        </w:rPr>
        <w:t>ConocoPhilips</w:t>
      </w:r>
      <w:proofErr w:type="spellEnd"/>
      <w:r w:rsidRPr="001E06B3">
        <w:rPr>
          <w:rStyle w:val="longtext"/>
          <w:sz w:val="20"/>
          <w:szCs w:val="20"/>
          <w:lang w:val="uk-UA"/>
        </w:rPr>
        <w:t xml:space="preserve"> (США) і </w:t>
      </w:r>
      <w:proofErr w:type="spellStart"/>
      <w:r w:rsidRPr="001E06B3">
        <w:rPr>
          <w:rStyle w:val="longtext"/>
          <w:sz w:val="20"/>
          <w:szCs w:val="20"/>
          <w:lang w:val="uk-UA"/>
        </w:rPr>
        <w:t>Toyota</w:t>
      </w:r>
      <w:proofErr w:type="spellEnd"/>
      <w:r w:rsidRPr="001E06B3">
        <w:rPr>
          <w:rStyle w:val="longtext"/>
          <w:sz w:val="20"/>
          <w:szCs w:val="20"/>
          <w:lang w:val="uk-UA"/>
        </w:rPr>
        <w:t xml:space="preserve"> </w:t>
      </w:r>
      <w:proofErr w:type="spellStart"/>
      <w:r w:rsidRPr="001E06B3">
        <w:rPr>
          <w:rStyle w:val="longtext"/>
          <w:sz w:val="20"/>
          <w:szCs w:val="20"/>
          <w:lang w:val="uk-UA"/>
        </w:rPr>
        <w:t>Motor</w:t>
      </w:r>
      <w:proofErr w:type="spellEnd"/>
      <w:r w:rsidRPr="001E06B3">
        <w:rPr>
          <w:rStyle w:val="longtext"/>
          <w:sz w:val="20"/>
          <w:szCs w:val="20"/>
          <w:lang w:val="uk-UA"/>
        </w:rPr>
        <w:t xml:space="preserve"> (Японія)</w:t>
      </w:r>
      <w:r w:rsidRPr="001E06B3">
        <w:rPr>
          <w:sz w:val="20"/>
          <w:szCs w:val="20"/>
          <w:lang w:val="uk-UA"/>
        </w:rPr>
        <w:t>.</w:t>
      </w:r>
    </w:p>
    <w:p w:rsidR="007C11AA" w:rsidRPr="001E06B3" w:rsidRDefault="007C11AA" w:rsidP="0085788B">
      <w:pPr>
        <w:spacing w:line="240" w:lineRule="auto"/>
        <w:ind w:firstLine="709"/>
        <w:jc w:val="both"/>
        <w:rPr>
          <w:sz w:val="20"/>
          <w:szCs w:val="20"/>
          <w:lang w:val="uk-UA"/>
        </w:rPr>
      </w:pPr>
      <w:r w:rsidRPr="001E06B3">
        <w:rPr>
          <w:rStyle w:val="longtext"/>
          <w:sz w:val="20"/>
          <w:szCs w:val="20"/>
          <w:lang w:val="uk-UA"/>
        </w:rPr>
        <w:t>В 2012 році до списку увійшли сім російських компаній. Лідером серед них є «Газпром». Торік він займає 35-е місце, на цей раз йому дісталася 15-е місце. За минулий рік виручка російської газової монополії склала 157831 млрд.</w:t>
      </w:r>
      <w:r w:rsidRPr="001E06B3">
        <w:rPr>
          <w:sz w:val="20"/>
          <w:szCs w:val="20"/>
        </w:rPr>
        <w:t xml:space="preserve"> дол. США</w:t>
      </w:r>
      <w:r w:rsidR="00FB5C5C" w:rsidRPr="001E06B3">
        <w:rPr>
          <w:sz w:val="20"/>
          <w:szCs w:val="20"/>
          <w:lang w:val="uk-UA"/>
        </w:rPr>
        <w:t xml:space="preserve"> [4]</w:t>
      </w:r>
      <w:r w:rsidRPr="001E06B3">
        <w:rPr>
          <w:rStyle w:val="longtext"/>
          <w:sz w:val="20"/>
          <w:szCs w:val="20"/>
          <w:lang w:val="uk-UA"/>
        </w:rPr>
        <w:t>.</w:t>
      </w:r>
      <w:r w:rsidR="0085788B" w:rsidRPr="001E06B3">
        <w:rPr>
          <w:sz w:val="20"/>
          <w:szCs w:val="20"/>
          <w:lang w:val="uk-UA"/>
        </w:rPr>
        <w:t xml:space="preserve"> </w:t>
      </w:r>
    </w:p>
    <w:p w:rsidR="007C11AA" w:rsidRPr="001E06B3" w:rsidRDefault="007C11AA" w:rsidP="007C11AA">
      <w:pPr>
        <w:spacing w:line="240" w:lineRule="auto"/>
        <w:ind w:firstLine="709"/>
        <w:jc w:val="both"/>
        <w:rPr>
          <w:sz w:val="20"/>
          <w:szCs w:val="20"/>
          <w:lang w:val="uk-UA"/>
        </w:rPr>
      </w:pPr>
      <w:r w:rsidRPr="001E06B3">
        <w:rPr>
          <w:sz w:val="20"/>
          <w:szCs w:val="20"/>
          <w:lang w:val="uk-UA"/>
        </w:rPr>
        <w:t>Вже декілька десятків років лідером серед країн базування з найбільшими ТНК займає США, на другому місці – найрозвинутіші країни Європи</w:t>
      </w:r>
      <w:r w:rsidRPr="001E06B3">
        <w:rPr>
          <w:rStyle w:val="longtext"/>
          <w:sz w:val="20"/>
          <w:szCs w:val="20"/>
          <w:lang w:val="uk-UA"/>
        </w:rPr>
        <w:t xml:space="preserve">: США - 132 компанії з 500. Друге місце дісталося Китаю - 73 компанії (у минулому році в рейтингу було всього 61 китайська корпорація). Замикає трійку лідерів Японія (68 компаній). Потім йдуть Німеччина і Франція - по 32, Великобританія – 26 </w:t>
      </w:r>
      <w:r w:rsidR="0085788B" w:rsidRPr="001E06B3">
        <w:rPr>
          <w:sz w:val="20"/>
          <w:szCs w:val="20"/>
          <w:lang w:val="uk-UA"/>
        </w:rPr>
        <w:t>(рис. 1</w:t>
      </w:r>
      <w:r w:rsidRPr="001E06B3">
        <w:rPr>
          <w:sz w:val="20"/>
          <w:szCs w:val="20"/>
          <w:lang w:val="uk-UA"/>
        </w:rPr>
        <w:t>.):</w:t>
      </w:r>
    </w:p>
    <w:p w:rsidR="007C11AA" w:rsidRPr="001E06B3" w:rsidRDefault="007C11AA" w:rsidP="007C11AA">
      <w:pPr>
        <w:spacing w:line="240" w:lineRule="auto"/>
        <w:ind w:firstLine="709"/>
        <w:jc w:val="both"/>
        <w:rPr>
          <w:sz w:val="20"/>
          <w:szCs w:val="20"/>
          <w:lang w:val="uk-UA"/>
        </w:rPr>
      </w:pPr>
    </w:p>
    <w:p w:rsidR="007C11AA" w:rsidRPr="001E06B3" w:rsidRDefault="007C11AA" w:rsidP="0085788B">
      <w:pPr>
        <w:spacing w:line="240" w:lineRule="auto"/>
        <w:jc w:val="center"/>
        <w:rPr>
          <w:sz w:val="20"/>
          <w:szCs w:val="20"/>
          <w:lang w:val="uk-UA"/>
        </w:rPr>
      </w:pPr>
      <w:r w:rsidRPr="001E06B3">
        <w:rPr>
          <w:noProof/>
          <w:sz w:val="20"/>
          <w:szCs w:val="20"/>
          <w:lang w:val="uk-UA" w:eastAsia="uk-UA"/>
        </w:rPr>
        <w:lastRenderedPageBreak/>
        <w:drawing>
          <wp:inline distT="0" distB="0" distL="0" distR="0">
            <wp:extent cx="6038850" cy="3181350"/>
            <wp:effectExtent l="19050" t="0" r="19050"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85788B" w:rsidRPr="001E06B3">
        <w:rPr>
          <w:b/>
          <w:bCs/>
          <w:sz w:val="20"/>
          <w:szCs w:val="20"/>
          <w:lang w:val="uk-UA"/>
        </w:rPr>
        <w:t>Рис. 1</w:t>
      </w:r>
      <w:r w:rsidRPr="001E06B3">
        <w:rPr>
          <w:b/>
          <w:bCs/>
          <w:sz w:val="20"/>
          <w:szCs w:val="20"/>
          <w:lang w:val="uk-UA"/>
        </w:rPr>
        <w:t>. Розподіл топ 500 найбільших ТНК по країнам базування, (%).</w:t>
      </w:r>
    </w:p>
    <w:p w:rsidR="007C11AA" w:rsidRPr="001E06B3" w:rsidRDefault="007C11AA" w:rsidP="007C11AA">
      <w:pPr>
        <w:tabs>
          <w:tab w:val="left" w:pos="1260"/>
        </w:tabs>
        <w:autoSpaceDE w:val="0"/>
        <w:autoSpaceDN w:val="0"/>
        <w:adjustRightInd w:val="0"/>
        <w:spacing w:line="240" w:lineRule="auto"/>
        <w:jc w:val="both"/>
        <w:rPr>
          <w:rFonts w:eastAsia="Calibri"/>
          <w:snapToGrid w:val="0"/>
          <w:sz w:val="20"/>
          <w:szCs w:val="20"/>
          <w:bdr w:val="none" w:sz="0" w:space="0" w:color="000000"/>
          <w:shd w:val="clear" w:color="000000" w:fill="000000"/>
          <w:lang w:val="uk-UA"/>
        </w:rPr>
      </w:pPr>
      <w:r w:rsidRPr="001E06B3">
        <w:rPr>
          <w:sz w:val="20"/>
          <w:szCs w:val="20"/>
          <w:lang w:val="uk-UA"/>
        </w:rPr>
        <w:t>Примітка. Побудова</w:t>
      </w:r>
      <w:r w:rsidRPr="001E06B3">
        <w:rPr>
          <w:rFonts w:eastAsia="Calibri"/>
          <w:sz w:val="20"/>
          <w:szCs w:val="20"/>
          <w:lang w:val="uk-UA"/>
        </w:rPr>
        <w:t xml:space="preserve">но автором за даними журналу </w:t>
      </w:r>
      <w:r w:rsidRPr="001E06B3">
        <w:rPr>
          <w:rFonts w:eastAsia="Calibri"/>
          <w:sz w:val="20"/>
          <w:szCs w:val="20"/>
          <w:lang w:val="en-US"/>
        </w:rPr>
        <w:t>The</w:t>
      </w:r>
      <w:r w:rsidRPr="001E06B3">
        <w:rPr>
          <w:rFonts w:eastAsia="Calibri"/>
          <w:sz w:val="20"/>
          <w:szCs w:val="20"/>
          <w:lang w:val="uk-UA"/>
        </w:rPr>
        <w:t xml:space="preserve"> </w:t>
      </w:r>
      <w:r w:rsidRPr="001E06B3">
        <w:rPr>
          <w:rFonts w:eastAsia="Calibri"/>
          <w:sz w:val="20"/>
          <w:szCs w:val="20"/>
          <w:lang w:val="en-US"/>
        </w:rPr>
        <w:t>Fortune</w:t>
      </w:r>
      <w:r w:rsidRPr="001E06B3">
        <w:rPr>
          <w:rFonts w:eastAsia="Calibri"/>
          <w:sz w:val="20"/>
          <w:szCs w:val="20"/>
          <w:lang w:val="uk-UA"/>
        </w:rPr>
        <w:t xml:space="preserve"> 500, 2012</w:t>
      </w:r>
      <w:r w:rsidRPr="001E06B3">
        <w:rPr>
          <w:sz w:val="20"/>
          <w:szCs w:val="20"/>
          <w:lang w:val="uk-UA"/>
        </w:rPr>
        <w:t xml:space="preserve"> </w:t>
      </w:r>
      <w:r w:rsidRPr="001E06B3">
        <w:rPr>
          <w:rFonts w:eastAsia="Calibri"/>
          <w:sz w:val="20"/>
          <w:szCs w:val="20"/>
          <w:lang w:val="uk-UA"/>
        </w:rPr>
        <w:t>р</w:t>
      </w:r>
      <w:r w:rsidRPr="001E06B3">
        <w:rPr>
          <w:sz w:val="20"/>
          <w:szCs w:val="20"/>
          <w:lang w:val="uk-UA"/>
        </w:rPr>
        <w:t>ік</w:t>
      </w:r>
      <w:r w:rsidRPr="001E06B3">
        <w:rPr>
          <w:rFonts w:eastAsia="Calibri"/>
          <w:sz w:val="20"/>
          <w:szCs w:val="20"/>
          <w:lang w:val="uk-UA"/>
        </w:rPr>
        <w:t>.</w:t>
      </w:r>
    </w:p>
    <w:p w:rsidR="007C11AA" w:rsidRPr="001E06B3" w:rsidRDefault="007C11AA" w:rsidP="007C11AA">
      <w:pPr>
        <w:spacing w:line="240" w:lineRule="auto"/>
        <w:ind w:firstLine="709"/>
        <w:jc w:val="both"/>
        <w:rPr>
          <w:sz w:val="20"/>
          <w:szCs w:val="20"/>
          <w:lang w:val="uk-UA"/>
        </w:rPr>
      </w:pPr>
      <w:r w:rsidRPr="001E06B3">
        <w:rPr>
          <w:i/>
          <w:iCs/>
          <w:sz w:val="20"/>
          <w:szCs w:val="20"/>
          <w:lang w:val="uk-UA"/>
        </w:rPr>
        <w:t> </w:t>
      </w:r>
    </w:p>
    <w:p w:rsidR="007C11AA" w:rsidRPr="001E06B3" w:rsidRDefault="007C11AA" w:rsidP="007C11AA">
      <w:pPr>
        <w:spacing w:line="240" w:lineRule="auto"/>
        <w:ind w:firstLine="709"/>
        <w:jc w:val="both"/>
        <w:rPr>
          <w:sz w:val="20"/>
          <w:szCs w:val="20"/>
          <w:lang w:val="uk-UA"/>
        </w:rPr>
      </w:pPr>
      <w:r w:rsidRPr="001E06B3">
        <w:rPr>
          <w:sz w:val="20"/>
          <w:szCs w:val="20"/>
          <w:lang w:val="uk-UA"/>
        </w:rPr>
        <w:t xml:space="preserve"> Серед компаній з найбільшим іноземними активами близько 17 утримують 90% від загального об’єму активів за кордоном, серед них </w:t>
      </w:r>
      <w:proofErr w:type="spellStart"/>
      <w:r w:rsidRPr="001E06B3">
        <w:rPr>
          <w:sz w:val="20"/>
          <w:szCs w:val="20"/>
          <w:lang w:val="uk-UA"/>
        </w:rPr>
        <w:t>Arcelor</w:t>
      </w:r>
      <w:proofErr w:type="spellEnd"/>
      <w:r w:rsidRPr="001E06B3">
        <w:rPr>
          <w:sz w:val="20"/>
          <w:szCs w:val="20"/>
          <w:lang w:val="uk-UA"/>
        </w:rPr>
        <w:t xml:space="preserve"> </w:t>
      </w:r>
      <w:proofErr w:type="spellStart"/>
      <w:r w:rsidRPr="001E06B3">
        <w:rPr>
          <w:sz w:val="20"/>
          <w:szCs w:val="20"/>
          <w:lang w:val="uk-UA"/>
        </w:rPr>
        <w:t>Mittal</w:t>
      </w:r>
      <w:proofErr w:type="spellEnd"/>
      <w:r w:rsidRPr="001E06B3">
        <w:rPr>
          <w:sz w:val="20"/>
          <w:szCs w:val="20"/>
          <w:lang w:val="uk-UA"/>
        </w:rPr>
        <w:t xml:space="preserve">, </w:t>
      </w:r>
      <w:proofErr w:type="spellStart"/>
      <w:r w:rsidRPr="001E06B3">
        <w:rPr>
          <w:sz w:val="20"/>
          <w:szCs w:val="20"/>
          <w:lang w:val="uk-UA"/>
        </w:rPr>
        <w:t>Nestlé</w:t>
      </w:r>
      <w:proofErr w:type="spellEnd"/>
      <w:r w:rsidRPr="001E06B3">
        <w:rPr>
          <w:sz w:val="20"/>
          <w:szCs w:val="20"/>
          <w:lang w:val="uk-UA"/>
        </w:rPr>
        <w:t xml:space="preserve">, </w:t>
      </w:r>
      <w:proofErr w:type="spellStart"/>
      <w:r w:rsidRPr="001E06B3">
        <w:rPr>
          <w:sz w:val="20"/>
          <w:szCs w:val="20"/>
          <w:lang w:val="uk-UA"/>
        </w:rPr>
        <w:t>Anheuser-Busch</w:t>
      </w:r>
      <w:proofErr w:type="spellEnd"/>
      <w:r w:rsidRPr="001E06B3">
        <w:rPr>
          <w:sz w:val="20"/>
          <w:szCs w:val="20"/>
          <w:lang w:val="uk-UA"/>
        </w:rPr>
        <w:t xml:space="preserve"> </w:t>
      </w:r>
      <w:proofErr w:type="spellStart"/>
      <w:r w:rsidRPr="001E06B3">
        <w:rPr>
          <w:sz w:val="20"/>
          <w:szCs w:val="20"/>
          <w:lang w:val="uk-UA"/>
        </w:rPr>
        <w:t>InBev</w:t>
      </w:r>
      <w:proofErr w:type="spellEnd"/>
      <w:r w:rsidR="0085788B" w:rsidRPr="001E06B3">
        <w:rPr>
          <w:sz w:val="20"/>
          <w:szCs w:val="20"/>
          <w:lang w:val="uk-UA"/>
        </w:rPr>
        <w:t xml:space="preserve"> та </w:t>
      </w:r>
      <w:proofErr w:type="spellStart"/>
      <w:r w:rsidR="0085788B" w:rsidRPr="001E06B3">
        <w:rPr>
          <w:sz w:val="20"/>
          <w:szCs w:val="20"/>
          <w:lang w:val="uk-UA"/>
        </w:rPr>
        <w:t>Vodafone</w:t>
      </w:r>
      <w:proofErr w:type="spellEnd"/>
      <w:r w:rsidR="0085788B" w:rsidRPr="001E06B3">
        <w:rPr>
          <w:sz w:val="20"/>
          <w:szCs w:val="20"/>
          <w:lang w:val="uk-UA"/>
        </w:rPr>
        <w:t xml:space="preserve"> </w:t>
      </w:r>
      <w:r w:rsidR="00FB5C5C" w:rsidRPr="001E06B3">
        <w:rPr>
          <w:sz w:val="20"/>
          <w:szCs w:val="20"/>
          <w:lang w:val="uk-UA"/>
        </w:rPr>
        <w:t>[2</w:t>
      </w:r>
      <w:r w:rsidR="0085788B" w:rsidRPr="001E06B3">
        <w:rPr>
          <w:sz w:val="20"/>
          <w:szCs w:val="20"/>
          <w:lang w:val="uk-UA"/>
        </w:rPr>
        <w:t>] (див. Табл. 2</w:t>
      </w:r>
      <w:r w:rsidRPr="001E06B3">
        <w:rPr>
          <w:sz w:val="20"/>
          <w:szCs w:val="20"/>
          <w:lang w:val="uk-UA"/>
        </w:rPr>
        <w:t xml:space="preserve">). Наприклад, із 300 тис. робочих </w:t>
      </w:r>
      <w:r w:rsidRPr="001E06B3">
        <w:rPr>
          <w:sz w:val="20"/>
          <w:szCs w:val="20"/>
          <w:lang w:val="en-US"/>
        </w:rPr>
        <w:t>General</w:t>
      </w:r>
      <w:r w:rsidRPr="001E06B3">
        <w:rPr>
          <w:sz w:val="20"/>
          <w:szCs w:val="20"/>
        </w:rPr>
        <w:t xml:space="preserve"> </w:t>
      </w:r>
      <w:r w:rsidRPr="001E06B3">
        <w:rPr>
          <w:sz w:val="20"/>
          <w:szCs w:val="20"/>
          <w:lang w:val="en-US"/>
        </w:rPr>
        <w:t>Electric</w:t>
      </w:r>
      <w:r w:rsidRPr="001E06B3">
        <w:rPr>
          <w:sz w:val="20"/>
          <w:szCs w:val="20"/>
        </w:rPr>
        <w:t xml:space="preserve"> </w:t>
      </w:r>
      <w:r w:rsidRPr="001E06B3">
        <w:rPr>
          <w:sz w:val="20"/>
          <w:szCs w:val="20"/>
          <w:lang w:val="uk-UA"/>
        </w:rPr>
        <w:t xml:space="preserve">більше половини базуються за межами Сполучених Штатів Америки, в той час як в </w:t>
      </w:r>
      <w:r w:rsidRPr="001E06B3">
        <w:rPr>
          <w:sz w:val="20"/>
          <w:szCs w:val="20"/>
          <w:lang w:val="en-US"/>
        </w:rPr>
        <w:t>Toyota</w:t>
      </w:r>
      <w:r w:rsidRPr="001E06B3">
        <w:rPr>
          <w:sz w:val="20"/>
          <w:szCs w:val="20"/>
          <w:lang w:val="uk-UA"/>
        </w:rPr>
        <w:t>, що має більше робітників, та лише 38% їх знаходиться за кордоном.</w:t>
      </w:r>
    </w:p>
    <w:p w:rsidR="007C11AA" w:rsidRPr="001E06B3" w:rsidRDefault="007C11AA" w:rsidP="007C11AA">
      <w:pPr>
        <w:spacing w:line="240" w:lineRule="auto"/>
        <w:jc w:val="both"/>
        <w:rPr>
          <w:sz w:val="20"/>
          <w:szCs w:val="20"/>
          <w:lang w:val="uk-UA"/>
        </w:rPr>
      </w:pPr>
    </w:p>
    <w:p w:rsidR="007C11AA" w:rsidRPr="001E06B3" w:rsidRDefault="007C11AA" w:rsidP="007C11AA">
      <w:pPr>
        <w:spacing w:line="240" w:lineRule="auto"/>
        <w:ind w:firstLine="709"/>
        <w:jc w:val="right"/>
        <w:rPr>
          <w:b/>
          <w:bCs/>
          <w:sz w:val="20"/>
          <w:szCs w:val="20"/>
          <w:lang w:val="uk-UA"/>
        </w:rPr>
      </w:pPr>
      <w:r w:rsidRPr="001E06B3">
        <w:rPr>
          <w:b/>
          <w:bCs/>
          <w:sz w:val="20"/>
          <w:szCs w:val="20"/>
          <w:lang w:val="uk-UA"/>
        </w:rPr>
        <w:t xml:space="preserve">     </w:t>
      </w:r>
      <w:r w:rsidR="0085788B" w:rsidRPr="001E06B3">
        <w:rPr>
          <w:b/>
          <w:bCs/>
          <w:sz w:val="20"/>
          <w:szCs w:val="20"/>
          <w:lang w:val="uk-UA"/>
        </w:rPr>
        <w:t>Таблиця 2</w:t>
      </w:r>
    </w:p>
    <w:p w:rsidR="007C11AA" w:rsidRPr="001E06B3" w:rsidRDefault="007C11AA" w:rsidP="0085788B">
      <w:pPr>
        <w:spacing w:line="240" w:lineRule="auto"/>
        <w:ind w:firstLine="709"/>
        <w:jc w:val="center"/>
        <w:rPr>
          <w:b/>
          <w:sz w:val="20"/>
          <w:szCs w:val="20"/>
        </w:rPr>
      </w:pPr>
      <w:r w:rsidRPr="001E06B3">
        <w:rPr>
          <w:b/>
          <w:bCs/>
          <w:sz w:val="20"/>
          <w:szCs w:val="20"/>
          <w:lang w:val="uk-UA"/>
        </w:rPr>
        <w:t>Найбільші ТНК та обсяги їх продажів, млрд. дол.</w:t>
      </w:r>
      <w:r w:rsidRPr="001E06B3">
        <w:rPr>
          <w:b/>
          <w:sz w:val="20"/>
          <w:szCs w:val="20"/>
          <w:lang w:val="uk-UA"/>
        </w:rPr>
        <w:t xml:space="preserve"> США</w:t>
      </w:r>
    </w:p>
    <w:tbl>
      <w:tblPr>
        <w:tblW w:w="0" w:type="auto"/>
        <w:jc w:val="center"/>
        <w:tblCellMar>
          <w:left w:w="0" w:type="dxa"/>
          <w:right w:w="0" w:type="dxa"/>
        </w:tblCellMar>
        <w:tblLook w:val="04A0" w:firstRow="1" w:lastRow="0" w:firstColumn="1" w:lastColumn="0" w:noHBand="0" w:noVBand="1"/>
      </w:tblPr>
      <w:tblGrid>
        <w:gridCol w:w="2248"/>
        <w:gridCol w:w="2741"/>
        <w:gridCol w:w="2490"/>
        <w:gridCol w:w="2047"/>
      </w:tblGrid>
      <w:tr w:rsidR="007C11AA" w:rsidRPr="001E06B3" w:rsidTr="0085788B">
        <w:trPr>
          <w:jc w:val="center"/>
        </w:trPr>
        <w:tc>
          <w:tcPr>
            <w:tcW w:w="2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C11AA" w:rsidRPr="001E06B3" w:rsidRDefault="007C11AA" w:rsidP="007C11AA">
            <w:pPr>
              <w:spacing w:line="240" w:lineRule="auto"/>
              <w:jc w:val="center"/>
              <w:rPr>
                <w:b/>
                <w:sz w:val="20"/>
                <w:szCs w:val="20"/>
              </w:rPr>
            </w:pPr>
            <w:r w:rsidRPr="001E06B3">
              <w:rPr>
                <w:b/>
                <w:sz w:val="20"/>
                <w:szCs w:val="20"/>
                <w:lang w:val="uk-UA"/>
              </w:rPr>
              <w:t>Компанія</w:t>
            </w:r>
          </w:p>
        </w:tc>
        <w:tc>
          <w:tcPr>
            <w:tcW w:w="27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C11AA" w:rsidRPr="001E06B3" w:rsidRDefault="007C11AA" w:rsidP="007C11AA">
            <w:pPr>
              <w:spacing w:line="240" w:lineRule="auto"/>
              <w:jc w:val="center"/>
              <w:rPr>
                <w:b/>
                <w:sz w:val="20"/>
                <w:szCs w:val="20"/>
              </w:rPr>
            </w:pPr>
            <w:r w:rsidRPr="001E06B3">
              <w:rPr>
                <w:b/>
                <w:sz w:val="20"/>
                <w:szCs w:val="20"/>
                <w:lang w:val="uk-UA"/>
              </w:rPr>
              <w:t>Країна базування</w:t>
            </w:r>
          </w:p>
        </w:tc>
        <w:tc>
          <w:tcPr>
            <w:tcW w:w="24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C11AA" w:rsidRPr="001E06B3" w:rsidRDefault="007C11AA" w:rsidP="007C11AA">
            <w:pPr>
              <w:spacing w:line="240" w:lineRule="auto"/>
              <w:jc w:val="center"/>
              <w:rPr>
                <w:b/>
                <w:sz w:val="20"/>
                <w:szCs w:val="20"/>
                <w:lang w:val="uk-UA"/>
              </w:rPr>
            </w:pPr>
            <w:r w:rsidRPr="001E06B3">
              <w:rPr>
                <w:b/>
                <w:sz w:val="20"/>
                <w:szCs w:val="20"/>
                <w:lang w:val="uk-UA"/>
              </w:rPr>
              <w:t xml:space="preserve">Обсяги продажів, </w:t>
            </w:r>
          </w:p>
          <w:p w:rsidR="007C11AA" w:rsidRPr="001E06B3" w:rsidRDefault="007C11AA" w:rsidP="007C11AA">
            <w:pPr>
              <w:spacing w:line="240" w:lineRule="auto"/>
              <w:jc w:val="center"/>
              <w:rPr>
                <w:b/>
                <w:sz w:val="20"/>
                <w:szCs w:val="20"/>
              </w:rPr>
            </w:pPr>
            <w:r w:rsidRPr="001E06B3">
              <w:rPr>
                <w:b/>
                <w:sz w:val="20"/>
                <w:szCs w:val="20"/>
                <w:lang w:val="uk-UA"/>
              </w:rPr>
              <w:t>млрд. дол.</w:t>
            </w:r>
            <w:r w:rsidRPr="001E06B3">
              <w:rPr>
                <w:sz w:val="20"/>
                <w:szCs w:val="20"/>
                <w:lang w:val="uk-UA"/>
              </w:rPr>
              <w:t xml:space="preserve"> </w:t>
            </w:r>
            <w:r w:rsidRPr="001E06B3">
              <w:rPr>
                <w:b/>
                <w:sz w:val="20"/>
                <w:szCs w:val="20"/>
                <w:lang w:val="uk-UA"/>
              </w:rPr>
              <w:t>США</w:t>
            </w:r>
          </w:p>
        </w:tc>
        <w:tc>
          <w:tcPr>
            <w:tcW w:w="20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C11AA" w:rsidRPr="001E06B3" w:rsidRDefault="007C11AA" w:rsidP="007C11AA">
            <w:pPr>
              <w:spacing w:line="240" w:lineRule="auto"/>
              <w:jc w:val="center"/>
              <w:rPr>
                <w:b/>
                <w:sz w:val="20"/>
                <w:szCs w:val="20"/>
              </w:rPr>
            </w:pPr>
            <w:r w:rsidRPr="001E06B3">
              <w:rPr>
                <w:b/>
                <w:sz w:val="20"/>
                <w:szCs w:val="20"/>
                <w:lang w:val="uk-UA"/>
              </w:rPr>
              <w:t>Частка закордонних продажів, %</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General Electric</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США</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735</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52,6</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proofErr w:type="spellStart"/>
            <w:r w:rsidRPr="001E06B3">
              <w:rPr>
                <w:sz w:val="20"/>
                <w:szCs w:val="20"/>
                <w:lang w:val="en-US"/>
              </w:rPr>
              <w:t>Wal</w:t>
            </w:r>
            <w:proofErr w:type="spellEnd"/>
            <w:r w:rsidRPr="001E06B3">
              <w:rPr>
                <w:sz w:val="20"/>
                <w:szCs w:val="20"/>
                <w:lang w:val="en-US"/>
              </w:rPr>
              <w:t xml:space="preserve"> Mart Stores</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США</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422</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58</w:t>
            </w:r>
            <w:r w:rsidRPr="001E06B3">
              <w:rPr>
                <w:sz w:val="20"/>
                <w:szCs w:val="20"/>
                <w:lang w:val="en-US"/>
              </w:rPr>
              <w:t>,7</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Royal Dutch Shell</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Нідерланди/Британія</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320</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60,1</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BP</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Великобританія</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295</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79,8</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Exxon Mobil</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США</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315</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73</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Toyota</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Японія</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355</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60,8</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Total</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Франція</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210</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76,9</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Vodafone</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Великобританія</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170</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88,3</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Enel</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Італія</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215</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60,5</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GDF Suez</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Франція</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298</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65,6</w:t>
            </w:r>
          </w:p>
        </w:tc>
      </w:tr>
      <w:tr w:rsidR="007C11AA" w:rsidRPr="001E06B3" w:rsidTr="0085788B">
        <w:trPr>
          <w:jc w:val="center"/>
        </w:trPr>
        <w:tc>
          <w:tcPr>
            <w:tcW w:w="2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en-US"/>
              </w:rPr>
              <w:t>Telefonica</w:t>
            </w:r>
          </w:p>
        </w:tc>
        <w:tc>
          <w:tcPr>
            <w:tcW w:w="274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Іспанія</w:t>
            </w:r>
          </w:p>
        </w:tc>
        <w:tc>
          <w:tcPr>
            <w:tcW w:w="249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180</w:t>
            </w:r>
          </w:p>
        </w:tc>
        <w:tc>
          <w:tcPr>
            <w:tcW w:w="2047"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7C11AA">
            <w:pPr>
              <w:spacing w:line="240" w:lineRule="auto"/>
              <w:jc w:val="center"/>
              <w:rPr>
                <w:sz w:val="20"/>
                <w:szCs w:val="20"/>
              </w:rPr>
            </w:pPr>
            <w:r w:rsidRPr="001E06B3">
              <w:rPr>
                <w:sz w:val="20"/>
                <w:szCs w:val="20"/>
                <w:lang w:val="uk-UA"/>
              </w:rPr>
              <w:t>72,1</w:t>
            </w:r>
          </w:p>
        </w:tc>
      </w:tr>
    </w:tbl>
    <w:p w:rsidR="007C11AA" w:rsidRPr="001E06B3" w:rsidRDefault="007C11AA" w:rsidP="007C11AA">
      <w:pPr>
        <w:spacing w:line="240" w:lineRule="auto"/>
        <w:jc w:val="both"/>
        <w:rPr>
          <w:sz w:val="20"/>
          <w:szCs w:val="20"/>
          <w:lang w:val="uk-UA"/>
        </w:rPr>
      </w:pPr>
      <w:r w:rsidRPr="001E06B3">
        <w:rPr>
          <w:sz w:val="20"/>
          <w:szCs w:val="20"/>
          <w:lang w:val="uk-UA"/>
        </w:rPr>
        <w:t xml:space="preserve"> Примітка. Побудовано автором за даними UNCTAD. </w:t>
      </w:r>
      <w:proofErr w:type="spellStart"/>
      <w:r w:rsidRPr="001E06B3">
        <w:rPr>
          <w:sz w:val="20"/>
          <w:szCs w:val="20"/>
          <w:lang w:val="uk-UA"/>
        </w:rPr>
        <w:t>World</w:t>
      </w:r>
      <w:proofErr w:type="spellEnd"/>
      <w:r w:rsidRPr="001E06B3">
        <w:rPr>
          <w:sz w:val="20"/>
          <w:szCs w:val="20"/>
          <w:lang w:val="uk-UA"/>
        </w:rPr>
        <w:t xml:space="preserve"> </w:t>
      </w:r>
      <w:proofErr w:type="spellStart"/>
      <w:r w:rsidRPr="001E06B3">
        <w:rPr>
          <w:sz w:val="20"/>
          <w:szCs w:val="20"/>
          <w:lang w:val="uk-UA"/>
        </w:rPr>
        <w:t>Investment</w:t>
      </w:r>
      <w:proofErr w:type="spellEnd"/>
      <w:r w:rsidRPr="001E06B3">
        <w:rPr>
          <w:sz w:val="20"/>
          <w:szCs w:val="20"/>
          <w:lang w:val="uk-UA"/>
        </w:rPr>
        <w:t xml:space="preserve"> </w:t>
      </w:r>
      <w:proofErr w:type="spellStart"/>
      <w:r w:rsidRPr="001E06B3">
        <w:rPr>
          <w:sz w:val="20"/>
          <w:szCs w:val="20"/>
          <w:lang w:val="uk-UA"/>
        </w:rPr>
        <w:t>Report</w:t>
      </w:r>
      <w:proofErr w:type="spellEnd"/>
      <w:r w:rsidRPr="001E06B3">
        <w:rPr>
          <w:sz w:val="20"/>
          <w:szCs w:val="20"/>
          <w:lang w:val="uk-UA"/>
        </w:rPr>
        <w:t xml:space="preserve"> 2013. </w:t>
      </w:r>
      <w:r w:rsidRPr="001E06B3">
        <w:rPr>
          <w:bCs/>
          <w:sz w:val="20"/>
          <w:szCs w:val="20"/>
          <w:lang w:val="en-US"/>
        </w:rPr>
        <w:t>Global</w:t>
      </w:r>
      <w:r w:rsidRPr="001E06B3">
        <w:rPr>
          <w:bCs/>
          <w:sz w:val="20"/>
          <w:szCs w:val="20"/>
          <w:lang w:val="uk-UA"/>
        </w:rPr>
        <w:t xml:space="preserve"> </w:t>
      </w:r>
      <w:r w:rsidRPr="001E06B3">
        <w:rPr>
          <w:bCs/>
          <w:sz w:val="20"/>
          <w:szCs w:val="20"/>
          <w:lang w:val="en-US"/>
        </w:rPr>
        <w:t>value</w:t>
      </w:r>
      <w:r w:rsidRPr="001E06B3">
        <w:rPr>
          <w:bCs/>
          <w:sz w:val="20"/>
          <w:szCs w:val="20"/>
          <w:lang w:val="uk-UA"/>
        </w:rPr>
        <w:t xml:space="preserve"> </w:t>
      </w:r>
      <w:r w:rsidRPr="001E06B3">
        <w:rPr>
          <w:bCs/>
          <w:sz w:val="20"/>
          <w:szCs w:val="20"/>
          <w:lang w:val="en-US"/>
        </w:rPr>
        <w:t>chains</w:t>
      </w:r>
      <w:r w:rsidRPr="001E06B3">
        <w:rPr>
          <w:bCs/>
          <w:sz w:val="20"/>
          <w:szCs w:val="20"/>
          <w:lang w:val="uk-UA"/>
        </w:rPr>
        <w:t xml:space="preserve">: </w:t>
      </w:r>
      <w:r w:rsidRPr="001E06B3">
        <w:rPr>
          <w:bCs/>
          <w:sz w:val="20"/>
          <w:szCs w:val="20"/>
          <w:lang w:val="en-US"/>
        </w:rPr>
        <w:t>investment</w:t>
      </w:r>
      <w:r w:rsidRPr="001E06B3">
        <w:rPr>
          <w:bCs/>
          <w:sz w:val="20"/>
          <w:szCs w:val="20"/>
          <w:lang w:val="uk-UA"/>
        </w:rPr>
        <w:t xml:space="preserve"> </w:t>
      </w:r>
      <w:r w:rsidRPr="001E06B3">
        <w:rPr>
          <w:bCs/>
          <w:sz w:val="20"/>
          <w:szCs w:val="20"/>
          <w:lang w:val="en-US"/>
        </w:rPr>
        <w:t>and</w:t>
      </w:r>
      <w:r w:rsidRPr="001E06B3">
        <w:rPr>
          <w:bCs/>
          <w:sz w:val="20"/>
          <w:szCs w:val="20"/>
          <w:lang w:val="uk-UA"/>
        </w:rPr>
        <w:t xml:space="preserve"> </w:t>
      </w:r>
      <w:r w:rsidRPr="001E06B3">
        <w:rPr>
          <w:bCs/>
          <w:sz w:val="20"/>
          <w:szCs w:val="20"/>
          <w:lang w:val="en-US"/>
        </w:rPr>
        <w:t>trade</w:t>
      </w:r>
      <w:r w:rsidRPr="001E06B3">
        <w:rPr>
          <w:bCs/>
          <w:sz w:val="20"/>
          <w:szCs w:val="20"/>
          <w:lang w:val="uk-UA"/>
        </w:rPr>
        <w:t xml:space="preserve"> </w:t>
      </w:r>
      <w:r w:rsidRPr="001E06B3">
        <w:rPr>
          <w:bCs/>
          <w:sz w:val="20"/>
          <w:szCs w:val="20"/>
          <w:lang w:val="en-US"/>
        </w:rPr>
        <w:t>for</w:t>
      </w:r>
      <w:r w:rsidRPr="001E06B3">
        <w:rPr>
          <w:bCs/>
          <w:sz w:val="20"/>
          <w:szCs w:val="20"/>
          <w:lang w:val="uk-UA"/>
        </w:rPr>
        <w:t xml:space="preserve"> </w:t>
      </w:r>
      <w:r w:rsidRPr="001E06B3">
        <w:rPr>
          <w:bCs/>
          <w:sz w:val="20"/>
          <w:szCs w:val="20"/>
          <w:lang w:val="en-US"/>
        </w:rPr>
        <w:t>development</w:t>
      </w:r>
      <w:r w:rsidRPr="001E06B3">
        <w:rPr>
          <w:sz w:val="20"/>
          <w:szCs w:val="20"/>
          <w:lang w:val="uk-UA"/>
        </w:rPr>
        <w:t>. - 2013 – Р. 18.</w:t>
      </w:r>
    </w:p>
    <w:p w:rsidR="007C11AA" w:rsidRPr="001E06B3" w:rsidRDefault="007C11AA" w:rsidP="007C11AA">
      <w:pPr>
        <w:spacing w:line="240" w:lineRule="auto"/>
        <w:ind w:firstLine="709"/>
        <w:jc w:val="both"/>
        <w:rPr>
          <w:sz w:val="20"/>
          <w:szCs w:val="20"/>
          <w:lang w:val="uk-UA"/>
        </w:rPr>
      </w:pPr>
    </w:p>
    <w:p w:rsidR="007C11AA" w:rsidRPr="001E06B3" w:rsidRDefault="007C11AA" w:rsidP="007C11AA">
      <w:pPr>
        <w:spacing w:line="240" w:lineRule="auto"/>
        <w:ind w:firstLine="709"/>
        <w:jc w:val="both"/>
        <w:rPr>
          <w:sz w:val="20"/>
          <w:szCs w:val="20"/>
          <w:lang w:val="uk-UA"/>
        </w:rPr>
      </w:pPr>
      <w:r w:rsidRPr="001E06B3">
        <w:rPr>
          <w:sz w:val="20"/>
          <w:szCs w:val="20"/>
          <w:lang w:val="uk-UA"/>
        </w:rPr>
        <w:t>Але в останні роки глобалізаційні процеси призвели до зміцнення позицій країн, що розвиваються, особливо держав Далекого Сходу. Прискорення темпів розвитку, дешева ресурсна база, покращення інвестиційного клімату, світовий дисонанс після кризи 2008 року, чітко визначена зовнішня політика – все це причини росту економічних можливостей гігантів східної Азії (див. Т</w:t>
      </w:r>
      <w:r w:rsidR="0085788B" w:rsidRPr="001E06B3">
        <w:rPr>
          <w:sz w:val="20"/>
          <w:szCs w:val="20"/>
          <w:lang w:val="uk-UA"/>
        </w:rPr>
        <w:t>абл. 3)</w:t>
      </w:r>
      <w:r w:rsidR="00FB5C5C" w:rsidRPr="001E06B3">
        <w:rPr>
          <w:sz w:val="20"/>
          <w:szCs w:val="20"/>
          <w:lang w:val="uk-UA"/>
        </w:rPr>
        <w:t xml:space="preserve"> [3</w:t>
      </w:r>
      <w:r w:rsidRPr="001E06B3">
        <w:rPr>
          <w:sz w:val="20"/>
          <w:szCs w:val="20"/>
          <w:lang w:val="uk-UA"/>
        </w:rPr>
        <w:t>].</w:t>
      </w:r>
    </w:p>
    <w:p w:rsidR="000E5E6C" w:rsidRPr="001E06B3" w:rsidRDefault="000E5E6C" w:rsidP="000E5E6C">
      <w:pPr>
        <w:spacing w:line="240" w:lineRule="auto"/>
        <w:ind w:firstLine="709"/>
        <w:jc w:val="both"/>
        <w:rPr>
          <w:sz w:val="20"/>
          <w:szCs w:val="20"/>
          <w:lang w:val="uk-UA"/>
        </w:rPr>
      </w:pPr>
      <w:r>
        <w:rPr>
          <w:sz w:val="20"/>
          <w:szCs w:val="20"/>
          <w:lang w:val="uk-UA"/>
        </w:rPr>
        <w:t xml:space="preserve">Таким чином, </w:t>
      </w:r>
      <w:r w:rsidRPr="001E06B3">
        <w:rPr>
          <w:sz w:val="20"/>
          <w:szCs w:val="20"/>
          <w:lang w:val="uk-UA"/>
        </w:rPr>
        <w:t>найбільш розвиненим країнам світу відповідають найбільші транснаціональні компанії. Капітал, що мають ТНК (транснаціональний капітал), залучається в інші країни для розвитку власної системи виробництва та збуту, для реалізації ресурсної бази (в тому числі дешевшої, ніж в країні базування робочої сили). Інвестиційні потоки, що надходять з міжнародних компаній для модернізації чи розвитку будь-якої сфери – є одним з перших кроків експансії національної економіки та реалізації зовнішньої політики ТНК. З одн</w:t>
      </w:r>
      <w:r>
        <w:rPr>
          <w:sz w:val="20"/>
          <w:szCs w:val="20"/>
          <w:lang w:val="uk-UA"/>
        </w:rPr>
        <w:t xml:space="preserve">ого боку, </w:t>
      </w:r>
      <w:r w:rsidRPr="001E06B3">
        <w:rPr>
          <w:sz w:val="20"/>
          <w:szCs w:val="20"/>
          <w:lang w:val="uk-UA"/>
        </w:rPr>
        <w:t>прямі іноземні інвестиції дають поштовх до розви</w:t>
      </w:r>
      <w:r>
        <w:rPr>
          <w:sz w:val="20"/>
          <w:szCs w:val="20"/>
          <w:lang w:val="uk-UA"/>
        </w:rPr>
        <w:t>тку промислових галузей, з іншого</w:t>
      </w:r>
      <w:r w:rsidRPr="001E06B3">
        <w:rPr>
          <w:sz w:val="20"/>
          <w:szCs w:val="20"/>
          <w:lang w:val="uk-UA"/>
        </w:rPr>
        <w:t xml:space="preserve"> – отримані прибутки надходять до материнських компаній, виснажуючи ресурси приймаючих країн. </w:t>
      </w:r>
    </w:p>
    <w:p w:rsidR="000E5E6C" w:rsidRDefault="000E5E6C" w:rsidP="000E5E6C">
      <w:pPr>
        <w:spacing w:line="240" w:lineRule="auto"/>
        <w:rPr>
          <w:b/>
          <w:bCs/>
          <w:sz w:val="20"/>
          <w:szCs w:val="20"/>
          <w:lang w:val="uk-UA"/>
        </w:rPr>
      </w:pPr>
    </w:p>
    <w:p w:rsidR="000E5E6C" w:rsidRDefault="000E5E6C" w:rsidP="007C11AA">
      <w:pPr>
        <w:spacing w:line="240" w:lineRule="auto"/>
        <w:ind w:firstLine="709"/>
        <w:jc w:val="right"/>
        <w:rPr>
          <w:b/>
          <w:bCs/>
          <w:sz w:val="20"/>
          <w:szCs w:val="20"/>
          <w:lang w:val="uk-UA"/>
        </w:rPr>
      </w:pPr>
    </w:p>
    <w:p w:rsidR="007C11AA" w:rsidRPr="001E06B3" w:rsidRDefault="0085788B" w:rsidP="007C11AA">
      <w:pPr>
        <w:spacing w:line="240" w:lineRule="auto"/>
        <w:ind w:firstLine="709"/>
        <w:jc w:val="right"/>
        <w:rPr>
          <w:sz w:val="20"/>
          <w:szCs w:val="20"/>
          <w:lang w:val="uk-UA"/>
        </w:rPr>
      </w:pPr>
      <w:r w:rsidRPr="001E06B3">
        <w:rPr>
          <w:b/>
          <w:bCs/>
          <w:sz w:val="20"/>
          <w:szCs w:val="20"/>
          <w:lang w:val="uk-UA"/>
        </w:rPr>
        <w:lastRenderedPageBreak/>
        <w:t>Таблиця 3</w:t>
      </w:r>
    </w:p>
    <w:p w:rsidR="007C11AA" w:rsidRPr="001E06B3" w:rsidRDefault="007C11AA" w:rsidP="0085788B">
      <w:pPr>
        <w:spacing w:line="240" w:lineRule="auto"/>
        <w:jc w:val="center"/>
        <w:rPr>
          <w:sz w:val="20"/>
          <w:szCs w:val="20"/>
          <w:lang w:val="uk-UA"/>
        </w:rPr>
      </w:pPr>
      <w:r w:rsidRPr="001E06B3">
        <w:rPr>
          <w:b/>
          <w:bCs/>
          <w:sz w:val="20"/>
          <w:szCs w:val="20"/>
          <w:lang w:val="uk-UA"/>
        </w:rPr>
        <w:t>Топ 10 найбільш перспективних приймаючих країн на 2013-2014 рік</w:t>
      </w:r>
    </w:p>
    <w:tbl>
      <w:tblPr>
        <w:tblW w:w="0" w:type="auto"/>
        <w:jc w:val="center"/>
        <w:tblInd w:w="108" w:type="dxa"/>
        <w:tblCellMar>
          <w:left w:w="0" w:type="dxa"/>
          <w:right w:w="0" w:type="dxa"/>
        </w:tblCellMar>
        <w:tblLook w:val="04A0" w:firstRow="1" w:lastRow="0" w:firstColumn="1" w:lastColumn="0" w:noHBand="0" w:noVBand="1"/>
      </w:tblPr>
      <w:tblGrid>
        <w:gridCol w:w="2013"/>
        <w:gridCol w:w="2551"/>
        <w:gridCol w:w="2410"/>
        <w:gridCol w:w="2551"/>
      </w:tblGrid>
      <w:tr w:rsidR="007C11AA" w:rsidRPr="001E06B3" w:rsidTr="0085788B">
        <w:trPr>
          <w:jc w:val="center"/>
        </w:trPr>
        <w:tc>
          <w:tcPr>
            <w:tcW w:w="20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3044EC">
            <w:pPr>
              <w:spacing w:line="240" w:lineRule="auto"/>
              <w:ind w:firstLine="709"/>
              <w:jc w:val="center"/>
              <w:rPr>
                <w:b/>
                <w:sz w:val="20"/>
                <w:szCs w:val="20"/>
                <w:lang w:val="uk-UA"/>
              </w:rPr>
            </w:pPr>
            <w:r w:rsidRPr="001E06B3">
              <w:rPr>
                <w:b/>
                <w:sz w:val="20"/>
                <w:szCs w:val="20"/>
                <w:lang w:val="uk-UA"/>
              </w:rPr>
              <w:t>Країна</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3044EC">
            <w:pPr>
              <w:spacing w:line="240" w:lineRule="auto"/>
              <w:jc w:val="center"/>
              <w:rPr>
                <w:b/>
                <w:sz w:val="20"/>
                <w:szCs w:val="20"/>
                <w:lang w:val="uk-UA"/>
              </w:rPr>
            </w:pPr>
            <w:r w:rsidRPr="001E06B3">
              <w:rPr>
                <w:b/>
                <w:sz w:val="20"/>
                <w:szCs w:val="20"/>
                <w:lang w:val="uk-UA"/>
              </w:rPr>
              <w:t>Тип економіки</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3044EC">
            <w:pPr>
              <w:spacing w:line="240" w:lineRule="auto"/>
              <w:jc w:val="center"/>
              <w:rPr>
                <w:b/>
                <w:sz w:val="20"/>
                <w:szCs w:val="20"/>
                <w:lang w:val="uk-UA"/>
              </w:rPr>
            </w:pPr>
            <w:r w:rsidRPr="001E06B3">
              <w:rPr>
                <w:b/>
                <w:sz w:val="20"/>
                <w:szCs w:val="20"/>
                <w:lang w:val="uk-UA"/>
              </w:rPr>
              <w:t>Місце на 2011 рік</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3044EC">
            <w:pPr>
              <w:spacing w:line="240" w:lineRule="auto"/>
              <w:jc w:val="center"/>
              <w:rPr>
                <w:b/>
                <w:sz w:val="20"/>
                <w:szCs w:val="20"/>
                <w:lang w:val="uk-UA"/>
              </w:rPr>
            </w:pPr>
            <w:r w:rsidRPr="001E06B3">
              <w:rPr>
                <w:b/>
                <w:sz w:val="20"/>
                <w:szCs w:val="20"/>
                <w:lang w:val="uk-UA"/>
              </w:rPr>
              <w:t>Місце на 2012</w:t>
            </w:r>
            <w:r w:rsidR="003044EC" w:rsidRPr="001E06B3">
              <w:rPr>
                <w:b/>
                <w:sz w:val="20"/>
                <w:szCs w:val="20"/>
                <w:lang w:val="uk-UA"/>
              </w:rPr>
              <w:t xml:space="preserve"> </w:t>
            </w:r>
            <w:r w:rsidRPr="001E06B3">
              <w:rPr>
                <w:b/>
                <w:sz w:val="20"/>
                <w:szCs w:val="20"/>
                <w:lang w:val="uk-UA"/>
              </w:rPr>
              <w:t>рік</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hanging="80"/>
              <w:jc w:val="center"/>
              <w:rPr>
                <w:sz w:val="20"/>
                <w:szCs w:val="20"/>
              </w:rPr>
            </w:pPr>
            <w:r w:rsidRPr="001E06B3">
              <w:rPr>
                <w:sz w:val="20"/>
                <w:szCs w:val="20"/>
                <w:lang w:val="uk-UA"/>
              </w:rPr>
              <w:t>Китай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що розвивається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1</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hanging="80"/>
              <w:jc w:val="center"/>
              <w:rPr>
                <w:sz w:val="20"/>
                <w:szCs w:val="20"/>
              </w:rPr>
            </w:pPr>
            <w:r w:rsidRPr="001E06B3">
              <w:rPr>
                <w:sz w:val="20"/>
                <w:szCs w:val="20"/>
                <w:lang w:val="uk-UA"/>
              </w:rPr>
              <w:t>США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розвинена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2</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hanging="80"/>
              <w:jc w:val="center"/>
              <w:rPr>
                <w:sz w:val="20"/>
                <w:szCs w:val="20"/>
              </w:rPr>
            </w:pPr>
            <w:r w:rsidRPr="001E06B3">
              <w:rPr>
                <w:sz w:val="20"/>
                <w:szCs w:val="20"/>
                <w:lang w:val="uk-UA"/>
              </w:rPr>
              <w:t>Індія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що розвивається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3</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hanging="80"/>
              <w:jc w:val="center"/>
              <w:rPr>
                <w:sz w:val="20"/>
                <w:szCs w:val="20"/>
              </w:rPr>
            </w:pPr>
            <w:r w:rsidRPr="001E06B3">
              <w:rPr>
                <w:sz w:val="20"/>
                <w:szCs w:val="20"/>
                <w:lang w:val="uk-UA"/>
              </w:rPr>
              <w:t>Індонезія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що розвивається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4</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hanging="80"/>
              <w:jc w:val="center"/>
              <w:rPr>
                <w:sz w:val="20"/>
                <w:szCs w:val="20"/>
              </w:rPr>
            </w:pPr>
            <w:r w:rsidRPr="001E06B3">
              <w:rPr>
                <w:sz w:val="20"/>
                <w:szCs w:val="20"/>
                <w:lang w:val="uk-UA"/>
              </w:rPr>
              <w:t>Бразилія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що розвивається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5</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hanging="80"/>
              <w:jc w:val="center"/>
              <w:rPr>
                <w:sz w:val="20"/>
                <w:szCs w:val="20"/>
              </w:rPr>
            </w:pPr>
            <w:r w:rsidRPr="001E06B3">
              <w:rPr>
                <w:sz w:val="20"/>
                <w:szCs w:val="20"/>
                <w:lang w:val="uk-UA"/>
              </w:rPr>
              <w:t>Австралія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розвинена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6</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hanging="80"/>
              <w:jc w:val="center"/>
              <w:rPr>
                <w:sz w:val="20"/>
                <w:szCs w:val="20"/>
              </w:rPr>
            </w:pPr>
            <w:r w:rsidRPr="001E06B3">
              <w:rPr>
                <w:sz w:val="20"/>
                <w:szCs w:val="20"/>
                <w:lang w:val="uk-UA"/>
              </w:rPr>
              <w:t>Англія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розвинена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7</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hanging="80"/>
              <w:jc w:val="center"/>
              <w:rPr>
                <w:sz w:val="20"/>
                <w:szCs w:val="20"/>
              </w:rPr>
            </w:pPr>
            <w:r w:rsidRPr="001E06B3">
              <w:rPr>
                <w:sz w:val="20"/>
                <w:szCs w:val="20"/>
                <w:lang w:val="uk-UA"/>
              </w:rPr>
              <w:t>Німеччина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розвинена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8</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8</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hanging="80"/>
              <w:jc w:val="center"/>
              <w:rPr>
                <w:sz w:val="20"/>
                <w:szCs w:val="20"/>
              </w:rPr>
            </w:pPr>
            <w:r w:rsidRPr="001E06B3">
              <w:rPr>
                <w:sz w:val="20"/>
                <w:szCs w:val="20"/>
                <w:lang w:val="uk-UA"/>
              </w:rPr>
              <w:t>Росія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що розвивається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9</w:t>
            </w:r>
          </w:p>
        </w:tc>
      </w:tr>
      <w:tr w:rsidR="007C11AA" w:rsidRPr="001E06B3" w:rsidTr="0085788B">
        <w:trPr>
          <w:jc w:val="center"/>
        </w:trPr>
        <w:tc>
          <w:tcPr>
            <w:tcW w:w="20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Таїланд</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jc w:val="center"/>
              <w:rPr>
                <w:sz w:val="20"/>
                <w:szCs w:val="20"/>
              </w:rPr>
            </w:pPr>
            <w:r w:rsidRPr="001E06B3">
              <w:rPr>
                <w:sz w:val="20"/>
                <w:szCs w:val="20"/>
                <w:lang w:val="uk-UA"/>
              </w:rPr>
              <w:t>що розвивається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12</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7C11AA" w:rsidRPr="001E06B3" w:rsidRDefault="007C11AA" w:rsidP="0085788B">
            <w:pPr>
              <w:spacing w:line="240" w:lineRule="auto"/>
              <w:ind w:firstLine="709"/>
              <w:jc w:val="center"/>
              <w:rPr>
                <w:sz w:val="20"/>
                <w:szCs w:val="20"/>
              </w:rPr>
            </w:pPr>
            <w:r w:rsidRPr="001E06B3">
              <w:rPr>
                <w:sz w:val="20"/>
                <w:szCs w:val="20"/>
                <w:lang w:val="uk-UA"/>
              </w:rPr>
              <w:t>10</w:t>
            </w:r>
          </w:p>
        </w:tc>
      </w:tr>
    </w:tbl>
    <w:p w:rsidR="007C11AA" w:rsidRPr="001E06B3" w:rsidRDefault="007C11AA" w:rsidP="007C11AA">
      <w:pPr>
        <w:spacing w:line="240" w:lineRule="auto"/>
        <w:jc w:val="both"/>
        <w:rPr>
          <w:sz w:val="20"/>
          <w:szCs w:val="20"/>
          <w:lang w:val="uk-UA"/>
        </w:rPr>
      </w:pPr>
      <w:r w:rsidRPr="001E06B3">
        <w:rPr>
          <w:sz w:val="20"/>
          <w:szCs w:val="20"/>
          <w:lang w:val="uk-UA"/>
        </w:rPr>
        <w:t xml:space="preserve">Примітка. Складено автором за даними UNCTAD. </w:t>
      </w:r>
      <w:proofErr w:type="spellStart"/>
      <w:r w:rsidRPr="001E06B3">
        <w:rPr>
          <w:sz w:val="20"/>
          <w:szCs w:val="20"/>
          <w:lang w:val="uk-UA"/>
        </w:rPr>
        <w:t>World</w:t>
      </w:r>
      <w:proofErr w:type="spellEnd"/>
      <w:r w:rsidRPr="001E06B3">
        <w:rPr>
          <w:sz w:val="20"/>
          <w:szCs w:val="20"/>
          <w:lang w:val="uk-UA"/>
        </w:rPr>
        <w:t xml:space="preserve"> </w:t>
      </w:r>
      <w:proofErr w:type="spellStart"/>
      <w:r w:rsidRPr="001E06B3">
        <w:rPr>
          <w:sz w:val="20"/>
          <w:szCs w:val="20"/>
          <w:lang w:val="uk-UA"/>
        </w:rPr>
        <w:t>Investment</w:t>
      </w:r>
      <w:proofErr w:type="spellEnd"/>
      <w:r w:rsidRPr="001E06B3">
        <w:rPr>
          <w:sz w:val="20"/>
          <w:szCs w:val="20"/>
          <w:lang w:val="uk-UA"/>
        </w:rPr>
        <w:t xml:space="preserve"> </w:t>
      </w:r>
      <w:proofErr w:type="spellStart"/>
      <w:r w:rsidRPr="001E06B3">
        <w:rPr>
          <w:sz w:val="20"/>
          <w:szCs w:val="20"/>
          <w:lang w:val="uk-UA"/>
        </w:rPr>
        <w:t>Report</w:t>
      </w:r>
      <w:proofErr w:type="spellEnd"/>
      <w:r w:rsidRPr="001E06B3">
        <w:rPr>
          <w:sz w:val="20"/>
          <w:szCs w:val="20"/>
          <w:lang w:val="uk-UA"/>
        </w:rPr>
        <w:t xml:space="preserve"> 2013. </w:t>
      </w:r>
      <w:r w:rsidRPr="001E06B3">
        <w:rPr>
          <w:bCs/>
          <w:sz w:val="20"/>
          <w:szCs w:val="20"/>
          <w:lang w:val="en-US"/>
        </w:rPr>
        <w:t>Global</w:t>
      </w:r>
      <w:r w:rsidRPr="001E06B3">
        <w:rPr>
          <w:bCs/>
          <w:sz w:val="20"/>
          <w:szCs w:val="20"/>
          <w:lang w:val="uk-UA"/>
        </w:rPr>
        <w:t xml:space="preserve"> </w:t>
      </w:r>
      <w:r w:rsidRPr="001E06B3">
        <w:rPr>
          <w:bCs/>
          <w:sz w:val="20"/>
          <w:szCs w:val="20"/>
          <w:lang w:val="en-US"/>
        </w:rPr>
        <w:t>value</w:t>
      </w:r>
      <w:r w:rsidRPr="001E06B3">
        <w:rPr>
          <w:bCs/>
          <w:sz w:val="20"/>
          <w:szCs w:val="20"/>
          <w:lang w:val="uk-UA"/>
        </w:rPr>
        <w:t xml:space="preserve"> </w:t>
      </w:r>
      <w:r w:rsidRPr="001E06B3">
        <w:rPr>
          <w:bCs/>
          <w:sz w:val="20"/>
          <w:szCs w:val="20"/>
          <w:lang w:val="en-US"/>
        </w:rPr>
        <w:t>chains</w:t>
      </w:r>
      <w:r w:rsidRPr="001E06B3">
        <w:rPr>
          <w:bCs/>
          <w:sz w:val="20"/>
          <w:szCs w:val="20"/>
          <w:lang w:val="uk-UA"/>
        </w:rPr>
        <w:t xml:space="preserve">: </w:t>
      </w:r>
      <w:r w:rsidRPr="001E06B3">
        <w:rPr>
          <w:bCs/>
          <w:sz w:val="20"/>
          <w:szCs w:val="20"/>
          <w:lang w:val="en-US"/>
        </w:rPr>
        <w:t>investment</w:t>
      </w:r>
      <w:r w:rsidRPr="001E06B3">
        <w:rPr>
          <w:bCs/>
          <w:sz w:val="20"/>
          <w:szCs w:val="20"/>
          <w:lang w:val="uk-UA"/>
        </w:rPr>
        <w:t xml:space="preserve"> </w:t>
      </w:r>
      <w:r w:rsidRPr="001E06B3">
        <w:rPr>
          <w:bCs/>
          <w:sz w:val="20"/>
          <w:szCs w:val="20"/>
          <w:lang w:val="en-US"/>
        </w:rPr>
        <w:t>and</w:t>
      </w:r>
      <w:r w:rsidRPr="001E06B3">
        <w:rPr>
          <w:bCs/>
          <w:sz w:val="20"/>
          <w:szCs w:val="20"/>
          <w:lang w:val="uk-UA"/>
        </w:rPr>
        <w:t xml:space="preserve"> </w:t>
      </w:r>
      <w:r w:rsidRPr="001E06B3">
        <w:rPr>
          <w:bCs/>
          <w:sz w:val="20"/>
          <w:szCs w:val="20"/>
          <w:lang w:val="en-US"/>
        </w:rPr>
        <w:t>trade</w:t>
      </w:r>
      <w:r w:rsidRPr="001E06B3">
        <w:rPr>
          <w:bCs/>
          <w:sz w:val="20"/>
          <w:szCs w:val="20"/>
          <w:lang w:val="uk-UA"/>
        </w:rPr>
        <w:t xml:space="preserve"> </w:t>
      </w:r>
      <w:r w:rsidRPr="001E06B3">
        <w:rPr>
          <w:bCs/>
          <w:sz w:val="20"/>
          <w:szCs w:val="20"/>
          <w:lang w:val="en-US"/>
        </w:rPr>
        <w:t>for</w:t>
      </w:r>
      <w:r w:rsidRPr="001E06B3">
        <w:rPr>
          <w:bCs/>
          <w:sz w:val="20"/>
          <w:szCs w:val="20"/>
          <w:lang w:val="uk-UA"/>
        </w:rPr>
        <w:t xml:space="preserve"> </w:t>
      </w:r>
      <w:r w:rsidRPr="001E06B3">
        <w:rPr>
          <w:bCs/>
          <w:sz w:val="20"/>
          <w:szCs w:val="20"/>
          <w:lang w:val="en-US"/>
        </w:rPr>
        <w:t>development</w:t>
      </w:r>
      <w:r w:rsidRPr="001E06B3">
        <w:rPr>
          <w:sz w:val="20"/>
          <w:szCs w:val="20"/>
          <w:lang w:val="uk-UA"/>
        </w:rPr>
        <w:t>. - 2013 – Р. 38.</w:t>
      </w:r>
    </w:p>
    <w:p w:rsidR="007C11AA" w:rsidRPr="001E06B3" w:rsidRDefault="007C11AA" w:rsidP="007C11AA">
      <w:pPr>
        <w:spacing w:line="240" w:lineRule="auto"/>
        <w:ind w:firstLine="709"/>
        <w:jc w:val="both"/>
        <w:rPr>
          <w:sz w:val="20"/>
          <w:szCs w:val="20"/>
          <w:lang w:val="uk-UA"/>
        </w:rPr>
      </w:pPr>
    </w:p>
    <w:p w:rsidR="00A650B0" w:rsidRPr="001E06B3" w:rsidRDefault="000B2F3C" w:rsidP="00F62E95">
      <w:pPr>
        <w:spacing w:line="240" w:lineRule="auto"/>
        <w:ind w:firstLine="720"/>
        <w:jc w:val="both"/>
        <w:rPr>
          <w:sz w:val="20"/>
          <w:szCs w:val="20"/>
          <w:lang w:val="uk-UA"/>
        </w:rPr>
      </w:pPr>
      <w:r>
        <w:rPr>
          <w:sz w:val="20"/>
          <w:szCs w:val="20"/>
          <w:lang w:val="uk-UA"/>
        </w:rPr>
        <w:t xml:space="preserve">За даними </w:t>
      </w:r>
      <w:r w:rsidRPr="001E06B3">
        <w:rPr>
          <w:sz w:val="20"/>
          <w:szCs w:val="20"/>
          <w:lang w:val="uk-UA"/>
        </w:rPr>
        <w:t>ЮНКТАД</w:t>
      </w:r>
      <w:r>
        <w:rPr>
          <w:sz w:val="20"/>
          <w:szCs w:val="20"/>
          <w:lang w:val="uk-UA"/>
        </w:rPr>
        <w:t>,</w:t>
      </w:r>
      <w:r w:rsidRPr="001E06B3">
        <w:rPr>
          <w:sz w:val="20"/>
          <w:szCs w:val="20"/>
        </w:rPr>
        <w:t xml:space="preserve"> </w:t>
      </w:r>
      <w:r>
        <w:rPr>
          <w:sz w:val="20"/>
          <w:szCs w:val="20"/>
          <w:lang w:val="uk-UA"/>
        </w:rPr>
        <w:t>г</w:t>
      </w:r>
      <w:proofErr w:type="spellStart"/>
      <w:r w:rsidR="00A650B0" w:rsidRPr="001E06B3">
        <w:rPr>
          <w:sz w:val="20"/>
          <w:szCs w:val="20"/>
        </w:rPr>
        <w:t>лобальні</w:t>
      </w:r>
      <w:proofErr w:type="spellEnd"/>
      <w:r w:rsidR="00A650B0" w:rsidRPr="001E06B3">
        <w:rPr>
          <w:sz w:val="20"/>
          <w:szCs w:val="20"/>
        </w:rPr>
        <w:t xml:space="preserve"> потоки </w:t>
      </w:r>
      <w:proofErr w:type="spellStart"/>
      <w:r w:rsidR="00A650B0" w:rsidRPr="001E06B3">
        <w:rPr>
          <w:sz w:val="20"/>
          <w:szCs w:val="20"/>
        </w:rPr>
        <w:t>прямих</w:t>
      </w:r>
      <w:proofErr w:type="spellEnd"/>
      <w:r w:rsidR="00A650B0" w:rsidRPr="001E06B3">
        <w:rPr>
          <w:sz w:val="20"/>
          <w:szCs w:val="20"/>
        </w:rPr>
        <w:t xml:space="preserve"> </w:t>
      </w:r>
      <w:proofErr w:type="spellStart"/>
      <w:r w:rsidR="00A650B0" w:rsidRPr="001E06B3">
        <w:rPr>
          <w:sz w:val="20"/>
          <w:szCs w:val="20"/>
        </w:rPr>
        <w:t>іноземних</w:t>
      </w:r>
      <w:proofErr w:type="spellEnd"/>
      <w:r w:rsidR="00A650B0" w:rsidRPr="001E06B3">
        <w:rPr>
          <w:sz w:val="20"/>
          <w:szCs w:val="20"/>
        </w:rPr>
        <w:t xml:space="preserve"> </w:t>
      </w:r>
      <w:proofErr w:type="spellStart"/>
      <w:r w:rsidR="00A650B0" w:rsidRPr="001E06B3">
        <w:rPr>
          <w:sz w:val="20"/>
          <w:szCs w:val="20"/>
        </w:rPr>
        <w:t>інвестицій</w:t>
      </w:r>
      <w:proofErr w:type="spellEnd"/>
      <w:r w:rsidR="00A650B0" w:rsidRPr="001E06B3">
        <w:rPr>
          <w:sz w:val="20"/>
          <w:szCs w:val="20"/>
        </w:rPr>
        <w:t xml:space="preserve"> (ПІІ)</w:t>
      </w:r>
      <w:r w:rsidR="00A650B0" w:rsidRPr="001E06B3">
        <w:rPr>
          <w:sz w:val="20"/>
          <w:szCs w:val="20"/>
          <w:lang w:val="uk-UA"/>
        </w:rPr>
        <w:t xml:space="preserve"> у 20</w:t>
      </w:r>
      <w:r>
        <w:rPr>
          <w:sz w:val="20"/>
          <w:szCs w:val="20"/>
          <w:lang w:val="uk-UA"/>
        </w:rPr>
        <w:t xml:space="preserve">12 році скоротилися на 18 % до </w:t>
      </w:r>
      <w:r w:rsidR="00A650B0" w:rsidRPr="001E06B3">
        <w:rPr>
          <w:sz w:val="20"/>
          <w:szCs w:val="20"/>
          <w:lang w:val="uk-UA"/>
        </w:rPr>
        <w:t xml:space="preserve">1,35 трлн.  </w:t>
      </w:r>
      <w:r w:rsidR="00A650B0" w:rsidRPr="001E06B3">
        <w:rPr>
          <w:sz w:val="20"/>
          <w:szCs w:val="20"/>
        </w:rPr>
        <w:t>дол. США</w:t>
      </w:r>
      <w:r w:rsidR="00A650B0" w:rsidRPr="001E06B3">
        <w:rPr>
          <w:sz w:val="20"/>
          <w:szCs w:val="20"/>
          <w:lang w:val="uk-UA"/>
        </w:rPr>
        <w:t xml:space="preserve">. Таке різке зниження </w:t>
      </w:r>
      <w:r w:rsidR="00A650B0" w:rsidRPr="001E06B3">
        <w:rPr>
          <w:sz w:val="20"/>
          <w:szCs w:val="20"/>
        </w:rPr>
        <w:t>ПІІ</w:t>
      </w:r>
      <w:r w:rsidR="00A650B0" w:rsidRPr="001E06B3">
        <w:rPr>
          <w:sz w:val="20"/>
          <w:szCs w:val="20"/>
          <w:lang w:val="uk-UA"/>
        </w:rPr>
        <w:t xml:space="preserve"> було пов’язане </w:t>
      </w:r>
      <w:r w:rsidRPr="001E06B3">
        <w:rPr>
          <w:sz w:val="20"/>
          <w:szCs w:val="20"/>
          <w:lang w:val="uk-UA"/>
        </w:rPr>
        <w:t xml:space="preserve">з такими </w:t>
      </w:r>
      <w:r w:rsidR="00A650B0" w:rsidRPr="001E06B3">
        <w:rPr>
          <w:sz w:val="20"/>
          <w:szCs w:val="20"/>
          <w:lang w:val="uk-UA"/>
        </w:rPr>
        <w:t>ключовими економічними показниками, як ВВП, міжнародна торгівля та зайнятість. Економічна слабкість і політична невизначеність в ряді ве</w:t>
      </w:r>
      <w:r>
        <w:rPr>
          <w:sz w:val="20"/>
          <w:szCs w:val="20"/>
          <w:lang w:val="uk-UA"/>
        </w:rPr>
        <w:t>ликих економік породила обережність</w:t>
      </w:r>
      <w:r w:rsidR="00A650B0" w:rsidRPr="001E06B3">
        <w:rPr>
          <w:sz w:val="20"/>
          <w:szCs w:val="20"/>
          <w:lang w:val="uk-UA"/>
        </w:rPr>
        <w:t xml:space="preserve"> серед інвесторів. Крім того, багато </w:t>
      </w:r>
      <w:r>
        <w:rPr>
          <w:sz w:val="20"/>
          <w:szCs w:val="20"/>
          <w:lang w:val="uk-UA"/>
        </w:rPr>
        <w:t>ТНК</w:t>
      </w:r>
      <w:r w:rsidR="00F62E95" w:rsidRPr="001E06B3">
        <w:rPr>
          <w:sz w:val="20"/>
          <w:szCs w:val="20"/>
          <w:lang w:val="uk-UA"/>
        </w:rPr>
        <w:t xml:space="preserve"> </w:t>
      </w:r>
      <w:r w:rsidR="00A650B0" w:rsidRPr="001E06B3">
        <w:rPr>
          <w:sz w:val="20"/>
          <w:szCs w:val="20"/>
          <w:lang w:val="uk-UA"/>
        </w:rPr>
        <w:t>перепрофілювали свої інвестиції за кордоном, у тому числі шляхом реструктуризації активів, позбавлення прав і переселення.</w:t>
      </w:r>
    </w:p>
    <w:p w:rsidR="00A650B0" w:rsidRPr="001E06B3" w:rsidRDefault="00A650B0" w:rsidP="00C252FD">
      <w:pPr>
        <w:spacing w:line="240" w:lineRule="auto"/>
        <w:ind w:firstLine="720"/>
        <w:jc w:val="both"/>
        <w:rPr>
          <w:sz w:val="20"/>
          <w:szCs w:val="20"/>
          <w:lang w:val="uk-UA"/>
        </w:rPr>
      </w:pPr>
      <w:r w:rsidRPr="001E06B3">
        <w:rPr>
          <w:sz w:val="20"/>
          <w:szCs w:val="20"/>
          <w:lang w:val="uk-UA"/>
        </w:rPr>
        <w:t xml:space="preserve">У 2013 році ПІІ залишаться, за прогнозами ЮНКТАД, близькими до рівня 2012 року, коли верхня межа інтервалу склала 1,45 трлн. </w:t>
      </w:r>
      <w:r w:rsidRPr="001E06B3">
        <w:rPr>
          <w:sz w:val="20"/>
          <w:szCs w:val="20"/>
        </w:rPr>
        <w:t>дол. США</w:t>
      </w:r>
      <w:proofErr w:type="gramStart"/>
      <w:r w:rsidRPr="001E06B3">
        <w:rPr>
          <w:sz w:val="20"/>
          <w:szCs w:val="20"/>
        </w:rPr>
        <w:t>.</w:t>
      </w:r>
      <w:proofErr w:type="gramEnd"/>
      <w:r w:rsidRPr="001E06B3">
        <w:rPr>
          <w:sz w:val="20"/>
          <w:szCs w:val="20"/>
        </w:rPr>
        <w:t xml:space="preserve"> </w:t>
      </w:r>
      <w:r w:rsidR="00F62E95" w:rsidRPr="001E06B3">
        <w:rPr>
          <w:sz w:val="20"/>
          <w:szCs w:val="20"/>
          <w:lang w:val="uk-UA"/>
        </w:rPr>
        <w:t>(</w:t>
      </w:r>
      <w:proofErr w:type="gramStart"/>
      <w:r w:rsidR="00F62E95" w:rsidRPr="001E06B3">
        <w:rPr>
          <w:sz w:val="20"/>
          <w:szCs w:val="20"/>
          <w:lang w:val="uk-UA"/>
        </w:rPr>
        <w:t>д</w:t>
      </w:r>
      <w:proofErr w:type="gramEnd"/>
      <w:r w:rsidR="00F62E95" w:rsidRPr="001E06B3">
        <w:rPr>
          <w:sz w:val="20"/>
          <w:szCs w:val="20"/>
          <w:lang w:val="uk-UA"/>
        </w:rPr>
        <w:t xml:space="preserve">ив. Рис. </w:t>
      </w:r>
      <w:r w:rsidR="004C0F36" w:rsidRPr="001E06B3">
        <w:rPr>
          <w:sz w:val="20"/>
          <w:szCs w:val="20"/>
          <w:lang w:val="uk-UA"/>
        </w:rPr>
        <w:t>2</w:t>
      </w:r>
      <w:r w:rsidRPr="001E06B3">
        <w:rPr>
          <w:sz w:val="20"/>
          <w:szCs w:val="20"/>
          <w:lang w:val="uk-UA"/>
        </w:rPr>
        <w:t>.). У міру поліпшення макроекономічної кон'юнктури і відновлення впевненості інвесторів в середньостроковій перспекти</w:t>
      </w:r>
      <w:r w:rsidR="000B2F3C">
        <w:rPr>
          <w:sz w:val="20"/>
          <w:szCs w:val="20"/>
          <w:lang w:val="uk-UA"/>
        </w:rPr>
        <w:t>ві ТНК</w:t>
      </w:r>
      <w:r w:rsidRPr="001E06B3">
        <w:rPr>
          <w:sz w:val="20"/>
          <w:szCs w:val="20"/>
          <w:lang w:val="uk-UA"/>
        </w:rPr>
        <w:t>, можливо, вкладуть свої рекордно високі грошові авуари в нові інвестиції</w:t>
      </w:r>
      <w:r w:rsidR="00FB5C5C" w:rsidRPr="001E06B3">
        <w:rPr>
          <w:sz w:val="20"/>
          <w:szCs w:val="20"/>
          <w:lang w:val="uk-UA"/>
        </w:rPr>
        <w:t xml:space="preserve"> [2]</w:t>
      </w:r>
      <w:r w:rsidRPr="001E06B3">
        <w:rPr>
          <w:sz w:val="20"/>
          <w:szCs w:val="20"/>
          <w:lang w:val="uk-UA"/>
        </w:rPr>
        <w:t xml:space="preserve">. </w:t>
      </w:r>
    </w:p>
    <w:p w:rsidR="00A650B0" w:rsidRPr="001E06B3" w:rsidRDefault="00A650B0" w:rsidP="00C252FD">
      <w:pPr>
        <w:spacing w:line="240" w:lineRule="auto"/>
        <w:jc w:val="both"/>
        <w:rPr>
          <w:b/>
          <w:sz w:val="20"/>
          <w:szCs w:val="20"/>
          <w:lang w:val="uk-UA"/>
        </w:rPr>
      </w:pPr>
    </w:p>
    <w:p w:rsidR="00A650B0" w:rsidRPr="001E06B3" w:rsidRDefault="00A650B0" w:rsidP="00C252FD">
      <w:pPr>
        <w:spacing w:line="240" w:lineRule="auto"/>
        <w:jc w:val="both"/>
        <w:rPr>
          <w:b/>
          <w:sz w:val="20"/>
          <w:szCs w:val="20"/>
          <w:lang w:val="uk-UA"/>
        </w:rPr>
      </w:pPr>
      <w:r w:rsidRPr="001E06B3">
        <w:rPr>
          <w:b/>
          <w:noProof/>
          <w:sz w:val="20"/>
          <w:szCs w:val="20"/>
          <w:lang w:val="uk-UA" w:eastAsia="uk-UA"/>
        </w:rPr>
        <w:drawing>
          <wp:inline distT="0" distB="0" distL="0" distR="0">
            <wp:extent cx="6125845" cy="2886075"/>
            <wp:effectExtent l="19050" t="0" r="27305"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650B0" w:rsidRPr="001E06B3" w:rsidRDefault="00BB012D" w:rsidP="00BC7412">
      <w:pPr>
        <w:spacing w:line="240" w:lineRule="auto"/>
        <w:jc w:val="center"/>
        <w:rPr>
          <w:b/>
          <w:sz w:val="20"/>
          <w:szCs w:val="20"/>
          <w:lang w:val="uk-UA"/>
        </w:rPr>
      </w:pPr>
      <w:r w:rsidRPr="001E06B3">
        <w:rPr>
          <w:b/>
          <w:sz w:val="20"/>
          <w:szCs w:val="20"/>
          <w:lang w:val="uk-UA"/>
        </w:rPr>
        <w:t xml:space="preserve">Рис. </w:t>
      </w:r>
      <w:r w:rsidR="004C0F36" w:rsidRPr="001E06B3">
        <w:rPr>
          <w:b/>
          <w:sz w:val="20"/>
          <w:szCs w:val="20"/>
          <w:lang w:val="uk-UA"/>
        </w:rPr>
        <w:t>2</w:t>
      </w:r>
      <w:r w:rsidR="00A650B0" w:rsidRPr="001E06B3">
        <w:rPr>
          <w:b/>
          <w:sz w:val="20"/>
          <w:szCs w:val="20"/>
          <w:lang w:val="uk-UA"/>
        </w:rPr>
        <w:t>. Глобальні потоки ПІІ в 2004-2012 роках і прогнози на 2013-2015 роки, (млрд. дол. США).</w:t>
      </w:r>
    </w:p>
    <w:p w:rsidR="00A650B0" w:rsidRPr="001E06B3" w:rsidRDefault="00A650B0" w:rsidP="00C252FD">
      <w:pPr>
        <w:spacing w:line="240" w:lineRule="auto"/>
        <w:jc w:val="both"/>
        <w:rPr>
          <w:sz w:val="20"/>
          <w:szCs w:val="20"/>
          <w:lang w:val="uk-UA"/>
        </w:rPr>
      </w:pPr>
      <w:r w:rsidRPr="001E06B3">
        <w:rPr>
          <w:sz w:val="20"/>
          <w:szCs w:val="20"/>
          <w:lang w:val="uk-UA"/>
        </w:rPr>
        <w:t>Примітка. Побудовано автором за даними</w:t>
      </w:r>
      <w:r w:rsidR="00BC7412" w:rsidRPr="001E06B3">
        <w:rPr>
          <w:sz w:val="20"/>
          <w:szCs w:val="20"/>
        </w:rPr>
        <w:t xml:space="preserve"> </w:t>
      </w:r>
      <w:r w:rsidRPr="001E06B3">
        <w:rPr>
          <w:sz w:val="20"/>
          <w:szCs w:val="20"/>
          <w:lang w:val="uk-UA"/>
        </w:rPr>
        <w:t xml:space="preserve">UNCTAD. </w:t>
      </w:r>
      <w:proofErr w:type="spellStart"/>
      <w:r w:rsidRPr="001E06B3">
        <w:rPr>
          <w:sz w:val="20"/>
          <w:szCs w:val="20"/>
          <w:lang w:val="uk-UA"/>
        </w:rPr>
        <w:t>World</w:t>
      </w:r>
      <w:proofErr w:type="spellEnd"/>
      <w:r w:rsidRPr="001E06B3">
        <w:rPr>
          <w:sz w:val="20"/>
          <w:szCs w:val="20"/>
          <w:lang w:val="uk-UA"/>
        </w:rPr>
        <w:t xml:space="preserve"> </w:t>
      </w:r>
      <w:proofErr w:type="spellStart"/>
      <w:r w:rsidRPr="001E06B3">
        <w:rPr>
          <w:sz w:val="20"/>
          <w:szCs w:val="20"/>
          <w:lang w:val="uk-UA"/>
        </w:rPr>
        <w:t>Investment</w:t>
      </w:r>
      <w:proofErr w:type="spellEnd"/>
      <w:r w:rsidRPr="001E06B3">
        <w:rPr>
          <w:sz w:val="20"/>
          <w:szCs w:val="20"/>
          <w:lang w:val="uk-UA"/>
        </w:rPr>
        <w:t xml:space="preserve"> </w:t>
      </w:r>
      <w:proofErr w:type="spellStart"/>
      <w:r w:rsidRPr="001E06B3">
        <w:rPr>
          <w:sz w:val="20"/>
          <w:szCs w:val="20"/>
          <w:lang w:val="uk-UA"/>
        </w:rPr>
        <w:t>Report</w:t>
      </w:r>
      <w:proofErr w:type="spellEnd"/>
      <w:r w:rsidRPr="001E06B3">
        <w:rPr>
          <w:sz w:val="20"/>
          <w:szCs w:val="20"/>
          <w:lang w:val="uk-UA"/>
        </w:rPr>
        <w:t xml:space="preserve"> 2013. </w:t>
      </w:r>
      <w:r w:rsidRPr="001E06B3">
        <w:rPr>
          <w:rFonts w:eastAsia="Calibri"/>
          <w:bCs/>
          <w:sz w:val="20"/>
          <w:szCs w:val="20"/>
          <w:lang w:val="en-US" w:eastAsia="en-US"/>
        </w:rPr>
        <w:t>Global</w:t>
      </w:r>
      <w:r w:rsidRPr="001E06B3">
        <w:rPr>
          <w:rFonts w:eastAsia="Calibri"/>
          <w:bCs/>
          <w:sz w:val="20"/>
          <w:szCs w:val="20"/>
          <w:lang w:val="uk-UA" w:eastAsia="en-US"/>
        </w:rPr>
        <w:t xml:space="preserve"> </w:t>
      </w:r>
      <w:r w:rsidRPr="001E06B3">
        <w:rPr>
          <w:rFonts w:eastAsia="Calibri"/>
          <w:bCs/>
          <w:sz w:val="20"/>
          <w:szCs w:val="20"/>
          <w:lang w:val="en-US" w:eastAsia="en-US"/>
        </w:rPr>
        <w:t>value</w:t>
      </w:r>
      <w:r w:rsidRPr="001E06B3">
        <w:rPr>
          <w:rFonts w:eastAsia="Calibri"/>
          <w:bCs/>
          <w:sz w:val="20"/>
          <w:szCs w:val="20"/>
          <w:lang w:val="uk-UA" w:eastAsia="en-US"/>
        </w:rPr>
        <w:t xml:space="preserve"> </w:t>
      </w:r>
      <w:r w:rsidRPr="001E06B3">
        <w:rPr>
          <w:rFonts w:eastAsia="Calibri"/>
          <w:bCs/>
          <w:sz w:val="20"/>
          <w:szCs w:val="20"/>
          <w:lang w:val="en-US" w:eastAsia="en-US"/>
        </w:rPr>
        <w:t>chains</w:t>
      </w:r>
      <w:r w:rsidRPr="001E06B3">
        <w:rPr>
          <w:rFonts w:eastAsia="Calibri"/>
          <w:bCs/>
          <w:sz w:val="20"/>
          <w:szCs w:val="20"/>
          <w:lang w:val="uk-UA" w:eastAsia="en-US"/>
        </w:rPr>
        <w:t xml:space="preserve">: </w:t>
      </w:r>
      <w:r w:rsidRPr="001E06B3">
        <w:rPr>
          <w:rFonts w:eastAsia="Calibri"/>
          <w:bCs/>
          <w:sz w:val="20"/>
          <w:szCs w:val="20"/>
          <w:lang w:val="en-US" w:eastAsia="en-US"/>
        </w:rPr>
        <w:t>investment</w:t>
      </w:r>
      <w:r w:rsidRPr="001E06B3">
        <w:rPr>
          <w:rFonts w:eastAsia="Calibri"/>
          <w:bCs/>
          <w:sz w:val="20"/>
          <w:szCs w:val="20"/>
          <w:lang w:val="uk-UA" w:eastAsia="en-US"/>
        </w:rPr>
        <w:t xml:space="preserve"> </w:t>
      </w:r>
      <w:r w:rsidRPr="001E06B3">
        <w:rPr>
          <w:rFonts w:eastAsia="Calibri"/>
          <w:bCs/>
          <w:sz w:val="20"/>
          <w:szCs w:val="20"/>
          <w:lang w:val="en-US" w:eastAsia="en-US"/>
        </w:rPr>
        <w:t>and</w:t>
      </w:r>
      <w:r w:rsidRPr="001E06B3">
        <w:rPr>
          <w:rFonts w:eastAsia="Calibri"/>
          <w:bCs/>
          <w:sz w:val="20"/>
          <w:szCs w:val="20"/>
          <w:lang w:val="uk-UA" w:eastAsia="en-US"/>
        </w:rPr>
        <w:t xml:space="preserve"> </w:t>
      </w:r>
      <w:r w:rsidRPr="001E06B3">
        <w:rPr>
          <w:rFonts w:eastAsia="Calibri"/>
          <w:bCs/>
          <w:sz w:val="20"/>
          <w:szCs w:val="20"/>
          <w:lang w:val="en-US" w:eastAsia="en-US"/>
        </w:rPr>
        <w:t>trade</w:t>
      </w:r>
      <w:r w:rsidRPr="001E06B3">
        <w:rPr>
          <w:rFonts w:eastAsia="Calibri"/>
          <w:bCs/>
          <w:sz w:val="20"/>
          <w:szCs w:val="20"/>
          <w:lang w:val="uk-UA" w:eastAsia="en-US"/>
        </w:rPr>
        <w:t xml:space="preserve"> </w:t>
      </w:r>
      <w:r w:rsidRPr="001E06B3">
        <w:rPr>
          <w:rFonts w:eastAsia="Calibri"/>
          <w:bCs/>
          <w:sz w:val="20"/>
          <w:szCs w:val="20"/>
          <w:lang w:val="en-US" w:eastAsia="en-US"/>
        </w:rPr>
        <w:t>for</w:t>
      </w:r>
      <w:r w:rsidRPr="001E06B3">
        <w:rPr>
          <w:rFonts w:eastAsia="Calibri"/>
          <w:bCs/>
          <w:sz w:val="20"/>
          <w:szCs w:val="20"/>
          <w:lang w:val="uk-UA" w:eastAsia="en-US"/>
        </w:rPr>
        <w:t xml:space="preserve"> </w:t>
      </w:r>
      <w:r w:rsidRPr="001E06B3">
        <w:rPr>
          <w:rFonts w:eastAsia="Calibri"/>
          <w:bCs/>
          <w:sz w:val="20"/>
          <w:szCs w:val="20"/>
          <w:lang w:val="en-US" w:eastAsia="en-US"/>
        </w:rPr>
        <w:t>development</w:t>
      </w:r>
      <w:r w:rsidRPr="001E06B3">
        <w:rPr>
          <w:sz w:val="20"/>
          <w:szCs w:val="20"/>
          <w:lang w:val="uk-UA"/>
        </w:rPr>
        <w:t>. - 2013 – Р. 12</w:t>
      </w:r>
      <w:r w:rsidR="00905388" w:rsidRPr="001E06B3">
        <w:rPr>
          <w:sz w:val="20"/>
          <w:szCs w:val="20"/>
          <w:lang w:val="uk-UA"/>
        </w:rPr>
        <w:t>.</w:t>
      </w:r>
    </w:p>
    <w:p w:rsidR="006127BA" w:rsidRPr="001E06B3" w:rsidRDefault="006127BA" w:rsidP="00C252FD">
      <w:pPr>
        <w:spacing w:line="240" w:lineRule="auto"/>
        <w:jc w:val="both"/>
        <w:rPr>
          <w:sz w:val="20"/>
          <w:szCs w:val="20"/>
          <w:lang w:val="uk-UA"/>
        </w:rPr>
      </w:pPr>
    </w:p>
    <w:p w:rsidR="003044EC" w:rsidRPr="001E06B3" w:rsidRDefault="003044EC" w:rsidP="003044EC">
      <w:pPr>
        <w:spacing w:line="240" w:lineRule="auto"/>
        <w:ind w:firstLine="720"/>
        <w:jc w:val="both"/>
        <w:rPr>
          <w:sz w:val="20"/>
          <w:szCs w:val="20"/>
          <w:lang w:val="uk-UA"/>
        </w:rPr>
      </w:pPr>
      <w:r w:rsidRPr="001E06B3">
        <w:rPr>
          <w:sz w:val="20"/>
          <w:szCs w:val="20"/>
          <w:lang w:val="uk-UA"/>
        </w:rPr>
        <w:t>Після цього приплив ПІІ може зрости до 1,6 трлн. дол. США в 2014 році і 1,8 трлн. дол. США в 2015 році. Проте такі фактори, як структурні слабкості глобальної фінансової системи, можливе погіршення макроекономічних умов відтворення, а також суттєві політичні невизначеності в областях, що мають вирішальне значення для впевненості інвесторів, можуть призвести до подальшого зниження притоку ПІІ</w:t>
      </w:r>
      <w:r w:rsidR="00FB5C5C" w:rsidRPr="001E06B3">
        <w:rPr>
          <w:sz w:val="20"/>
          <w:szCs w:val="20"/>
          <w:lang w:val="uk-UA"/>
        </w:rPr>
        <w:t xml:space="preserve"> [1]</w:t>
      </w:r>
      <w:r w:rsidRPr="001E06B3">
        <w:rPr>
          <w:sz w:val="20"/>
          <w:szCs w:val="20"/>
          <w:lang w:val="uk-UA"/>
        </w:rPr>
        <w:t>.</w:t>
      </w:r>
    </w:p>
    <w:p w:rsidR="003044EC" w:rsidRPr="001E06B3" w:rsidRDefault="003044EC" w:rsidP="003044EC">
      <w:pPr>
        <w:spacing w:line="240" w:lineRule="auto"/>
        <w:ind w:firstLine="720"/>
        <w:jc w:val="both"/>
        <w:rPr>
          <w:sz w:val="20"/>
          <w:szCs w:val="20"/>
          <w:lang w:val="uk-UA"/>
        </w:rPr>
      </w:pPr>
      <w:r w:rsidRPr="001E06B3">
        <w:rPr>
          <w:sz w:val="20"/>
          <w:szCs w:val="20"/>
          <w:lang w:val="uk-UA"/>
        </w:rPr>
        <w:t xml:space="preserve">У 2012 році приплив ПІІ збільшився в усіх основних економічних групах країн. </w:t>
      </w:r>
      <w:r w:rsidRPr="001E06B3">
        <w:rPr>
          <w:sz w:val="20"/>
          <w:szCs w:val="20"/>
        </w:rPr>
        <w:t xml:space="preserve">Потоки в </w:t>
      </w:r>
      <w:proofErr w:type="spellStart"/>
      <w:r w:rsidRPr="001E06B3">
        <w:rPr>
          <w:sz w:val="20"/>
          <w:szCs w:val="20"/>
        </w:rPr>
        <w:t>розвинені</w:t>
      </w:r>
      <w:proofErr w:type="spellEnd"/>
      <w:r w:rsidRPr="001E06B3">
        <w:rPr>
          <w:sz w:val="20"/>
          <w:szCs w:val="20"/>
        </w:rPr>
        <w:t xml:space="preserve"> </w:t>
      </w:r>
      <w:proofErr w:type="spellStart"/>
      <w:r w:rsidRPr="001E06B3">
        <w:rPr>
          <w:sz w:val="20"/>
          <w:szCs w:val="20"/>
        </w:rPr>
        <w:t>країни</w:t>
      </w:r>
      <w:proofErr w:type="spellEnd"/>
      <w:r w:rsidRPr="001E06B3">
        <w:rPr>
          <w:sz w:val="20"/>
          <w:szCs w:val="20"/>
        </w:rPr>
        <w:t xml:space="preserve"> </w:t>
      </w:r>
      <w:r w:rsidRPr="001E06B3">
        <w:rPr>
          <w:sz w:val="20"/>
          <w:szCs w:val="20"/>
          <w:lang w:val="uk-UA"/>
        </w:rPr>
        <w:t>склали 561</w:t>
      </w:r>
      <w:r w:rsidRPr="001E06B3">
        <w:rPr>
          <w:sz w:val="20"/>
          <w:szCs w:val="20"/>
        </w:rPr>
        <w:t xml:space="preserve"> млрд. дол. США. У </w:t>
      </w:r>
      <w:proofErr w:type="spellStart"/>
      <w:r w:rsidRPr="001E06B3">
        <w:rPr>
          <w:sz w:val="20"/>
          <w:szCs w:val="20"/>
        </w:rPr>
        <w:t>країнах</w:t>
      </w:r>
      <w:proofErr w:type="spellEnd"/>
      <w:r w:rsidRPr="001E06B3">
        <w:rPr>
          <w:sz w:val="20"/>
          <w:szCs w:val="20"/>
        </w:rPr>
        <w:t xml:space="preserve">, </w:t>
      </w:r>
      <w:proofErr w:type="spellStart"/>
      <w:r w:rsidRPr="001E06B3">
        <w:rPr>
          <w:sz w:val="20"/>
          <w:szCs w:val="20"/>
        </w:rPr>
        <w:t>що</w:t>
      </w:r>
      <w:proofErr w:type="spellEnd"/>
      <w:r w:rsidRPr="001E06B3">
        <w:rPr>
          <w:sz w:val="20"/>
          <w:szCs w:val="20"/>
        </w:rPr>
        <w:t xml:space="preserve"> </w:t>
      </w:r>
      <w:proofErr w:type="spellStart"/>
      <w:r w:rsidRPr="001E06B3">
        <w:rPr>
          <w:sz w:val="20"/>
          <w:szCs w:val="20"/>
        </w:rPr>
        <w:t>розвиваються</w:t>
      </w:r>
      <w:proofErr w:type="spellEnd"/>
      <w:r w:rsidRPr="001E06B3">
        <w:rPr>
          <w:sz w:val="20"/>
          <w:szCs w:val="20"/>
        </w:rPr>
        <w:t xml:space="preserve"> </w:t>
      </w:r>
      <w:proofErr w:type="gramStart"/>
      <w:r w:rsidRPr="001E06B3">
        <w:rPr>
          <w:sz w:val="20"/>
          <w:szCs w:val="20"/>
        </w:rPr>
        <w:t>П</w:t>
      </w:r>
      <w:proofErr w:type="gramEnd"/>
      <w:r w:rsidRPr="001E06B3">
        <w:rPr>
          <w:sz w:val="20"/>
          <w:szCs w:val="20"/>
        </w:rPr>
        <w:t xml:space="preserve">ІІ  </w:t>
      </w:r>
      <w:proofErr w:type="spellStart"/>
      <w:r w:rsidRPr="001E06B3">
        <w:rPr>
          <w:sz w:val="20"/>
          <w:szCs w:val="20"/>
        </w:rPr>
        <w:t>досяг</w:t>
      </w:r>
      <w:r w:rsidRPr="001E06B3">
        <w:rPr>
          <w:sz w:val="20"/>
          <w:szCs w:val="20"/>
          <w:lang w:val="uk-UA"/>
        </w:rPr>
        <w:t>ли</w:t>
      </w:r>
      <w:proofErr w:type="spellEnd"/>
      <w:r w:rsidRPr="001E06B3">
        <w:rPr>
          <w:sz w:val="20"/>
          <w:szCs w:val="20"/>
        </w:rPr>
        <w:t xml:space="preserve"> </w:t>
      </w:r>
      <w:r w:rsidRPr="001E06B3">
        <w:rPr>
          <w:sz w:val="20"/>
          <w:szCs w:val="20"/>
          <w:lang w:val="uk-UA"/>
        </w:rPr>
        <w:t>703</w:t>
      </w:r>
      <w:r w:rsidR="000B2F3C">
        <w:rPr>
          <w:sz w:val="20"/>
          <w:szCs w:val="20"/>
        </w:rPr>
        <w:t xml:space="preserve"> млрд. дол. США. </w:t>
      </w:r>
      <w:r w:rsidR="000B2F3C">
        <w:rPr>
          <w:sz w:val="20"/>
          <w:szCs w:val="20"/>
          <w:lang w:val="uk-UA"/>
        </w:rPr>
        <w:t>В</w:t>
      </w:r>
      <w:r w:rsidRPr="001E06B3">
        <w:rPr>
          <w:sz w:val="20"/>
          <w:szCs w:val="20"/>
        </w:rPr>
        <w:t xml:space="preserve"> </w:t>
      </w:r>
      <w:proofErr w:type="spellStart"/>
      <w:r w:rsidRPr="001E06B3">
        <w:rPr>
          <w:sz w:val="20"/>
          <w:szCs w:val="20"/>
        </w:rPr>
        <w:t>країнах</w:t>
      </w:r>
      <w:proofErr w:type="spellEnd"/>
      <w:r w:rsidRPr="001E06B3">
        <w:rPr>
          <w:sz w:val="20"/>
          <w:szCs w:val="20"/>
        </w:rPr>
        <w:t xml:space="preserve"> з </w:t>
      </w:r>
      <w:proofErr w:type="spellStart"/>
      <w:r w:rsidRPr="001E06B3">
        <w:rPr>
          <w:sz w:val="20"/>
          <w:szCs w:val="20"/>
        </w:rPr>
        <w:t>перехідною</w:t>
      </w:r>
      <w:proofErr w:type="spellEnd"/>
      <w:r w:rsidRPr="001E06B3">
        <w:rPr>
          <w:sz w:val="20"/>
          <w:szCs w:val="20"/>
        </w:rPr>
        <w:t xml:space="preserve"> </w:t>
      </w:r>
      <w:proofErr w:type="spellStart"/>
      <w:r w:rsidRPr="001E06B3">
        <w:rPr>
          <w:sz w:val="20"/>
          <w:szCs w:val="20"/>
        </w:rPr>
        <w:t>економікою</w:t>
      </w:r>
      <w:proofErr w:type="spellEnd"/>
      <w:r w:rsidRPr="001E06B3">
        <w:rPr>
          <w:sz w:val="20"/>
          <w:szCs w:val="20"/>
        </w:rPr>
        <w:t xml:space="preserve"> ПІІ </w:t>
      </w:r>
      <w:proofErr w:type="spellStart"/>
      <w:r w:rsidRPr="001E06B3">
        <w:rPr>
          <w:sz w:val="20"/>
          <w:szCs w:val="20"/>
        </w:rPr>
        <w:t>склали</w:t>
      </w:r>
      <w:proofErr w:type="spellEnd"/>
      <w:r w:rsidRPr="001E06B3">
        <w:rPr>
          <w:sz w:val="20"/>
          <w:szCs w:val="20"/>
        </w:rPr>
        <w:t xml:space="preserve"> </w:t>
      </w:r>
      <w:r w:rsidRPr="001E06B3">
        <w:rPr>
          <w:sz w:val="20"/>
          <w:szCs w:val="20"/>
          <w:lang w:val="uk-UA"/>
        </w:rPr>
        <w:t xml:space="preserve"> </w:t>
      </w:r>
      <w:r w:rsidRPr="001E06B3">
        <w:rPr>
          <w:sz w:val="20"/>
          <w:szCs w:val="20"/>
        </w:rPr>
        <w:t xml:space="preserve">92 млрд. дол. США. На </w:t>
      </w:r>
      <w:proofErr w:type="spellStart"/>
      <w:r w:rsidRPr="001E06B3">
        <w:rPr>
          <w:sz w:val="20"/>
          <w:szCs w:val="20"/>
        </w:rPr>
        <w:t>частку</w:t>
      </w:r>
      <w:proofErr w:type="spellEnd"/>
      <w:r w:rsidRPr="001E06B3">
        <w:rPr>
          <w:sz w:val="20"/>
          <w:szCs w:val="20"/>
        </w:rPr>
        <w:t xml:space="preserve"> </w:t>
      </w:r>
      <w:proofErr w:type="spellStart"/>
      <w:r w:rsidRPr="001E06B3">
        <w:rPr>
          <w:sz w:val="20"/>
          <w:szCs w:val="20"/>
        </w:rPr>
        <w:t>країн</w:t>
      </w:r>
      <w:proofErr w:type="spellEnd"/>
      <w:r w:rsidRPr="001E06B3">
        <w:rPr>
          <w:sz w:val="20"/>
          <w:szCs w:val="20"/>
        </w:rPr>
        <w:t xml:space="preserve">, </w:t>
      </w:r>
      <w:proofErr w:type="spellStart"/>
      <w:r w:rsidRPr="001E06B3">
        <w:rPr>
          <w:sz w:val="20"/>
          <w:szCs w:val="20"/>
        </w:rPr>
        <w:t>що</w:t>
      </w:r>
      <w:proofErr w:type="spellEnd"/>
      <w:r w:rsidRPr="001E06B3">
        <w:rPr>
          <w:sz w:val="20"/>
          <w:szCs w:val="20"/>
        </w:rPr>
        <w:t xml:space="preserve"> </w:t>
      </w:r>
      <w:proofErr w:type="spellStart"/>
      <w:r w:rsidRPr="001E06B3">
        <w:rPr>
          <w:sz w:val="20"/>
          <w:szCs w:val="20"/>
        </w:rPr>
        <w:t>розвиваються</w:t>
      </w:r>
      <w:proofErr w:type="spellEnd"/>
      <w:r w:rsidRPr="001E06B3">
        <w:rPr>
          <w:sz w:val="20"/>
          <w:szCs w:val="20"/>
        </w:rPr>
        <w:t xml:space="preserve"> та </w:t>
      </w:r>
      <w:proofErr w:type="spellStart"/>
      <w:r w:rsidRPr="001E06B3">
        <w:rPr>
          <w:sz w:val="20"/>
          <w:szCs w:val="20"/>
        </w:rPr>
        <w:t>країн</w:t>
      </w:r>
      <w:proofErr w:type="spellEnd"/>
      <w:r w:rsidRPr="001E06B3">
        <w:rPr>
          <w:sz w:val="20"/>
          <w:szCs w:val="20"/>
        </w:rPr>
        <w:t xml:space="preserve"> з </w:t>
      </w:r>
      <w:proofErr w:type="spellStart"/>
      <w:r w:rsidRPr="001E06B3">
        <w:rPr>
          <w:sz w:val="20"/>
          <w:szCs w:val="20"/>
        </w:rPr>
        <w:t>перехідною</w:t>
      </w:r>
      <w:proofErr w:type="spellEnd"/>
      <w:r w:rsidRPr="001E06B3">
        <w:rPr>
          <w:sz w:val="20"/>
          <w:szCs w:val="20"/>
        </w:rPr>
        <w:t xml:space="preserve"> </w:t>
      </w:r>
      <w:proofErr w:type="spellStart"/>
      <w:r w:rsidRPr="001E06B3">
        <w:rPr>
          <w:sz w:val="20"/>
          <w:szCs w:val="20"/>
        </w:rPr>
        <w:t>економікою</w:t>
      </w:r>
      <w:proofErr w:type="spellEnd"/>
      <w:r w:rsidRPr="001E06B3">
        <w:rPr>
          <w:sz w:val="20"/>
          <w:szCs w:val="20"/>
        </w:rPr>
        <w:t xml:space="preserve"> </w:t>
      </w:r>
      <w:r w:rsidRPr="001E06B3">
        <w:rPr>
          <w:sz w:val="20"/>
          <w:szCs w:val="20"/>
          <w:lang w:val="uk-UA"/>
        </w:rPr>
        <w:t xml:space="preserve">разом </w:t>
      </w:r>
      <w:proofErr w:type="spellStart"/>
      <w:r w:rsidRPr="001E06B3">
        <w:rPr>
          <w:sz w:val="20"/>
          <w:szCs w:val="20"/>
        </w:rPr>
        <w:t>довелося</w:t>
      </w:r>
      <w:proofErr w:type="spellEnd"/>
      <w:r w:rsidRPr="001E06B3">
        <w:rPr>
          <w:sz w:val="20"/>
          <w:szCs w:val="20"/>
        </w:rPr>
        <w:t xml:space="preserve"> </w:t>
      </w:r>
      <w:r w:rsidRPr="001E06B3">
        <w:rPr>
          <w:sz w:val="20"/>
          <w:szCs w:val="20"/>
          <w:lang w:val="uk-UA"/>
        </w:rPr>
        <w:t>6</w:t>
      </w:r>
      <w:r w:rsidRPr="001E06B3">
        <w:rPr>
          <w:sz w:val="20"/>
          <w:szCs w:val="20"/>
        </w:rPr>
        <w:t xml:space="preserve">5% </w:t>
      </w:r>
      <w:proofErr w:type="spellStart"/>
      <w:r w:rsidRPr="001E06B3">
        <w:rPr>
          <w:sz w:val="20"/>
          <w:szCs w:val="20"/>
        </w:rPr>
        <w:t>від</w:t>
      </w:r>
      <w:proofErr w:type="spellEnd"/>
      <w:r w:rsidRPr="001E06B3">
        <w:rPr>
          <w:sz w:val="20"/>
          <w:szCs w:val="20"/>
        </w:rPr>
        <w:t xml:space="preserve"> </w:t>
      </w:r>
      <w:proofErr w:type="spellStart"/>
      <w:r w:rsidRPr="001E06B3">
        <w:rPr>
          <w:sz w:val="20"/>
          <w:szCs w:val="20"/>
        </w:rPr>
        <w:t>глобальних</w:t>
      </w:r>
      <w:proofErr w:type="spellEnd"/>
      <w:proofErr w:type="gramStart"/>
      <w:r w:rsidRPr="001E06B3">
        <w:rPr>
          <w:sz w:val="20"/>
          <w:szCs w:val="20"/>
        </w:rPr>
        <w:t xml:space="preserve"> П</w:t>
      </w:r>
      <w:proofErr w:type="gramEnd"/>
      <w:r w:rsidRPr="001E06B3">
        <w:rPr>
          <w:sz w:val="20"/>
          <w:szCs w:val="20"/>
        </w:rPr>
        <w:t xml:space="preserve">ІІ. </w:t>
      </w:r>
    </w:p>
    <w:p w:rsidR="00A650B0" w:rsidRPr="001E06B3" w:rsidRDefault="00A650B0" w:rsidP="00C252FD">
      <w:pPr>
        <w:spacing w:line="240" w:lineRule="auto"/>
        <w:ind w:firstLine="720"/>
        <w:jc w:val="both"/>
        <w:rPr>
          <w:rStyle w:val="longtext"/>
          <w:sz w:val="20"/>
          <w:szCs w:val="20"/>
          <w:lang w:val="uk-UA"/>
        </w:rPr>
      </w:pPr>
      <w:r w:rsidRPr="001E06B3">
        <w:rPr>
          <w:sz w:val="20"/>
          <w:szCs w:val="20"/>
          <w:lang w:val="uk-UA"/>
        </w:rPr>
        <w:t>Вперше</w:t>
      </w:r>
      <w:r w:rsidR="000B2F3C">
        <w:rPr>
          <w:sz w:val="20"/>
          <w:szCs w:val="20"/>
          <w:lang w:val="uk-UA"/>
        </w:rPr>
        <w:t>,</w:t>
      </w:r>
      <w:r w:rsidRPr="001E06B3">
        <w:rPr>
          <w:sz w:val="20"/>
          <w:szCs w:val="20"/>
          <w:lang w:val="uk-UA"/>
        </w:rPr>
        <w:t xml:space="preserve"> </w:t>
      </w:r>
      <w:r w:rsidR="000B2F3C" w:rsidRPr="001E06B3">
        <w:rPr>
          <w:sz w:val="20"/>
          <w:szCs w:val="20"/>
          <w:lang w:val="uk-UA"/>
        </w:rPr>
        <w:t>в 2012 році</w:t>
      </w:r>
      <w:r w:rsidR="000B2F3C">
        <w:rPr>
          <w:sz w:val="20"/>
          <w:szCs w:val="20"/>
          <w:lang w:val="uk-UA"/>
        </w:rPr>
        <w:t>,</w:t>
      </w:r>
      <w:r w:rsidR="000B2F3C" w:rsidRPr="001E06B3">
        <w:rPr>
          <w:sz w:val="20"/>
          <w:szCs w:val="20"/>
          <w:lang w:val="uk-UA"/>
        </w:rPr>
        <w:t xml:space="preserve"> </w:t>
      </w:r>
      <w:r w:rsidRPr="001E06B3">
        <w:rPr>
          <w:sz w:val="20"/>
          <w:szCs w:val="20"/>
          <w:lang w:val="uk-UA"/>
        </w:rPr>
        <w:t>країни</w:t>
      </w:r>
      <w:r w:rsidR="004C0F36" w:rsidRPr="001E06B3">
        <w:rPr>
          <w:sz w:val="20"/>
          <w:szCs w:val="20"/>
          <w:lang w:val="uk-UA"/>
        </w:rPr>
        <w:t>, що</w:t>
      </w:r>
      <w:r w:rsidRPr="001E06B3">
        <w:rPr>
          <w:sz w:val="20"/>
          <w:szCs w:val="20"/>
          <w:lang w:val="uk-UA"/>
        </w:rPr>
        <w:t xml:space="preserve"> розвиваються, отримали більше ПІІ, ніж розвинені країни: на них припадає 52% глобального припливу ПІІ, </w:t>
      </w:r>
      <w:r w:rsidRPr="001E06B3">
        <w:rPr>
          <w:rStyle w:val="longtext"/>
          <w:sz w:val="20"/>
          <w:szCs w:val="20"/>
          <w:lang w:val="uk-UA"/>
        </w:rPr>
        <w:t>що перевищує потоки в розвинені</w:t>
      </w:r>
      <w:r w:rsidRPr="001E06B3">
        <w:rPr>
          <w:sz w:val="20"/>
          <w:szCs w:val="20"/>
          <w:lang w:val="uk-UA"/>
        </w:rPr>
        <w:t xml:space="preserve"> </w:t>
      </w:r>
      <w:r w:rsidRPr="001E06B3">
        <w:rPr>
          <w:rStyle w:val="longtext"/>
          <w:sz w:val="20"/>
          <w:szCs w:val="20"/>
          <w:lang w:val="uk-UA"/>
        </w:rPr>
        <w:t xml:space="preserve">економіки на 142 млрд. </w:t>
      </w:r>
      <w:r w:rsidRPr="000B2F3C">
        <w:rPr>
          <w:sz w:val="20"/>
          <w:szCs w:val="20"/>
          <w:lang w:val="uk-UA"/>
        </w:rPr>
        <w:t xml:space="preserve">дол. </w:t>
      </w:r>
      <w:r w:rsidRPr="001E06B3">
        <w:rPr>
          <w:sz w:val="20"/>
          <w:szCs w:val="20"/>
        </w:rPr>
        <w:t>США</w:t>
      </w:r>
      <w:r w:rsidRPr="001E06B3">
        <w:rPr>
          <w:sz w:val="20"/>
          <w:szCs w:val="20"/>
          <w:lang w:val="uk-UA"/>
        </w:rPr>
        <w:t xml:space="preserve">, а  приплив </w:t>
      </w:r>
      <w:proofErr w:type="gramStart"/>
      <w:r w:rsidRPr="001E06B3">
        <w:rPr>
          <w:sz w:val="20"/>
          <w:szCs w:val="20"/>
          <w:lang w:val="uk-UA"/>
        </w:rPr>
        <w:t>П</w:t>
      </w:r>
      <w:proofErr w:type="gramEnd"/>
      <w:r w:rsidRPr="001E06B3">
        <w:rPr>
          <w:sz w:val="20"/>
          <w:szCs w:val="20"/>
          <w:lang w:val="uk-UA"/>
        </w:rPr>
        <w:t xml:space="preserve">ІІ в розвинені країни склав 35% та відповідно в країни </w:t>
      </w:r>
      <w:r w:rsidR="004C0F36" w:rsidRPr="001E06B3">
        <w:rPr>
          <w:sz w:val="20"/>
          <w:szCs w:val="20"/>
          <w:lang w:val="uk-UA"/>
        </w:rPr>
        <w:t xml:space="preserve">з перехідною економікою – 13 % </w:t>
      </w:r>
      <w:r w:rsidR="00905388" w:rsidRPr="001E06B3">
        <w:rPr>
          <w:sz w:val="20"/>
          <w:szCs w:val="20"/>
          <w:lang w:val="uk-UA"/>
        </w:rPr>
        <w:t>(</w:t>
      </w:r>
      <w:r w:rsidR="000E5E6C">
        <w:rPr>
          <w:sz w:val="20"/>
          <w:szCs w:val="20"/>
          <w:lang w:val="uk-UA"/>
        </w:rPr>
        <w:t>див. Р</w:t>
      </w:r>
      <w:r w:rsidR="00905388" w:rsidRPr="001E06B3">
        <w:rPr>
          <w:sz w:val="20"/>
          <w:szCs w:val="20"/>
          <w:lang w:val="uk-UA"/>
        </w:rPr>
        <w:t xml:space="preserve">ис. </w:t>
      </w:r>
      <w:r w:rsidR="004C0F36" w:rsidRPr="001E06B3">
        <w:rPr>
          <w:sz w:val="20"/>
          <w:szCs w:val="20"/>
          <w:lang w:val="uk-UA"/>
        </w:rPr>
        <w:t>3</w:t>
      </w:r>
      <w:r w:rsidRPr="001E06B3">
        <w:rPr>
          <w:sz w:val="20"/>
          <w:szCs w:val="20"/>
          <w:lang w:val="uk-UA"/>
        </w:rPr>
        <w:t>.</w:t>
      </w:r>
      <w:r w:rsidR="000E5E6C">
        <w:rPr>
          <w:rStyle w:val="longtext"/>
          <w:sz w:val="20"/>
          <w:szCs w:val="20"/>
          <w:lang w:val="uk-UA"/>
        </w:rPr>
        <w:t>).</w:t>
      </w:r>
      <w:r w:rsidRPr="001E06B3">
        <w:rPr>
          <w:rStyle w:val="longtext"/>
          <w:sz w:val="20"/>
          <w:szCs w:val="20"/>
          <w:lang w:val="uk-UA"/>
        </w:rPr>
        <w:t xml:space="preserve"> </w:t>
      </w:r>
    </w:p>
    <w:p w:rsidR="00A650B0" w:rsidRPr="001E06B3" w:rsidRDefault="00A650B0" w:rsidP="00C252FD">
      <w:pPr>
        <w:spacing w:line="240" w:lineRule="auto"/>
        <w:ind w:firstLine="720"/>
        <w:jc w:val="both"/>
        <w:rPr>
          <w:rStyle w:val="longtext"/>
          <w:sz w:val="20"/>
          <w:szCs w:val="20"/>
          <w:lang w:val="uk-UA"/>
        </w:rPr>
      </w:pPr>
    </w:p>
    <w:p w:rsidR="00A650B0" w:rsidRPr="001E06B3" w:rsidRDefault="00A650B0" w:rsidP="00C252FD">
      <w:pPr>
        <w:spacing w:line="240" w:lineRule="auto"/>
        <w:jc w:val="both"/>
        <w:rPr>
          <w:rStyle w:val="longtext"/>
          <w:sz w:val="20"/>
          <w:szCs w:val="20"/>
          <w:lang w:val="uk-UA"/>
        </w:rPr>
      </w:pPr>
      <w:r w:rsidRPr="001E06B3">
        <w:rPr>
          <w:noProof/>
          <w:sz w:val="20"/>
          <w:szCs w:val="20"/>
          <w:lang w:val="uk-UA" w:eastAsia="uk-UA"/>
        </w:rPr>
        <w:drawing>
          <wp:inline distT="0" distB="0" distL="0" distR="0">
            <wp:extent cx="6084570" cy="2895600"/>
            <wp:effectExtent l="19050" t="0" r="11430" b="0"/>
            <wp:docPr id="2"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50B0" w:rsidRPr="001E06B3" w:rsidRDefault="00905388" w:rsidP="00905388">
      <w:pPr>
        <w:spacing w:line="240" w:lineRule="auto"/>
        <w:jc w:val="center"/>
        <w:rPr>
          <w:b/>
          <w:sz w:val="20"/>
          <w:szCs w:val="20"/>
          <w:lang w:val="uk-UA"/>
        </w:rPr>
      </w:pPr>
      <w:r w:rsidRPr="001E06B3">
        <w:rPr>
          <w:b/>
          <w:sz w:val="20"/>
          <w:szCs w:val="20"/>
          <w:lang w:val="uk-UA"/>
        </w:rPr>
        <w:t xml:space="preserve">Рис. </w:t>
      </w:r>
      <w:r w:rsidR="004C0F36" w:rsidRPr="001E06B3">
        <w:rPr>
          <w:b/>
          <w:sz w:val="20"/>
          <w:szCs w:val="20"/>
          <w:lang w:val="uk-UA"/>
        </w:rPr>
        <w:t>3</w:t>
      </w:r>
      <w:r w:rsidR="00A650B0" w:rsidRPr="001E06B3">
        <w:rPr>
          <w:b/>
          <w:sz w:val="20"/>
          <w:szCs w:val="20"/>
          <w:lang w:val="uk-UA"/>
        </w:rPr>
        <w:t>. Частка трьох основних груп країн у глобальних потоках ПІІ в 2005 - 2012 роках, (%).</w:t>
      </w:r>
    </w:p>
    <w:p w:rsidR="00A650B0" w:rsidRPr="001E06B3" w:rsidRDefault="00A650B0" w:rsidP="00C252FD">
      <w:pPr>
        <w:spacing w:line="240" w:lineRule="auto"/>
        <w:jc w:val="both"/>
        <w:rPr>
          <w:sz w:val="20"/>
          <w:szCs w:val="20"/>
          <w:lang w:val="uk-UA"/>
        </w:rPr>
      </w:pPr>
      <w:r w:rsidRPr="001E06B3">
        <w:rPr>
          <w:sz w:val="20"/>
          <w:szCs w:val="20"/>
          <w:lang w:val="uk-UA"/>
        </w:rPr>
        <w:t xml:space="preserve">Примітка. Побудовано автором за даними UNCTAD. </w:t>
      </w:r>
      <w:proofErr w:type="spellStart"/>
      <w:r w:rsidRPr="001E06B3">
        <w:rPr>
          <w:sz w:val="20"/>
          <w:szCs w:val="20"/>
          <w:lang w:val="uk-UA"/>
        </w:rPr>
        <w:t>World</w:t>
      </w:r>
      <w:proofErr w:type="spellEnd"/>
      <w:r w:rsidRPr="001E06B3">
        <w:rPr>
          <w:sz w:val="20"/>
          <w:szCs w:val="20"/>
          <w:lang w:val="uk-UA"/>
        </w:rPr>
        <w:t xml:space="preserve"> </w:t>
      </w:r>
      <w:proofErr w:type="spellStart"/>
      <w:r w:rsidRPr="001E06B3">
        <w:rPr>
          <w:sz w:val="20"/>
          <w:szCs w:val="20"/>
          <w:lang w:val="uk-UA"/>
        </w:rPr>
        <w:t>Investment</w:t>
      </w:r>
      <w:proofErr w:type="spellEnd"/>
      <w:r w:rsidRPr="001E06B3">
        <w:rPr>
          <w:sz w:val="20"/>
          <w:szCs w:val="20"/>
          <w:lang w:val="uk-UA"/>
        </w:rPr>
        <w:t xml:space="preserve"> </w:t>
      </w:r>
      <w:proofErr w:type="spellStart"/>
      <w:r w:rsidRPr="001E06B3">
        <w:rPr>
          <w:sz w:val="20"/>
          <w:szCs w:val="20"/>
          <w:lang w:val="uk-UA"/>
        </w:rPr>
        <w:t>Report</w:t>
      </w:r>
      <w:proofErr w:type="spellEnd"/>
      <w:r w:rsidRPr="001E06B3">
        <w:rPr>
          <w:sz w:val="20"/>
          <w:szCs w:val="20"/>
          <w:lang w:val="uk-UA"/>
        </w:rPr>
        <w:t xml:space="preserve"> 2013. </w:t>
      </w:r>
      <w:r w:rsidRPr="001E06B3">
        <w:rPr>
          <w:rFonts w:eastAsia="Calibri"/>
          <w:bCs/>
          <w:sz w:val="20"/>
          <w:szCs w:val="20"/>
          <w:lang w:val="en-US" w:eastAsia="en-US"/>
        </w:rPr>
        <w:t>Global</w:t>
      </w:r>
      <w:r w:rsidRPr="001E06B3">
        <w:rPr>
          <w:rFonts w:eastAsia="Calibri"/>
          <w:bCs/>
          <w:sz w:val="20"/>
          <w:szCs w:val="20"/>
          <w:lang w:val="uk-UA" w:eastAsia="en-US"/>
        </w:rPr>
        <w:t xml:space="preserve"> </w:t>
      </w:r>
      <w:r w:rsidRPr="001E06B3">
        <w:rPr>
          <w:rFonts w:eastAsia="Calibri"/>
          <w:bCs/>
          <w:sz w:val="20"/>
          <w:szCs w:val="20"/>
          <w:lang w:val="en-US" w:eastAsia="en-US"/>
        </w:rPr>
        <w:t>value</w:t>
      </w:r>
      <w:r w:rsidRPr="001E06B3">
        <w:rPr>
          <w:rFonts w:eastAsia="Calibri"/>
          <w:bCs/>
          <w:sz w:val="20"/>
          <w:szCs w:val="20"/>
          <w:lang w:val="uk-UA" w:eastAsia="en-US"/>
        </w:rPr>
        <w:t xml:space="preserve"> </w:t>
      </w:r>
      <w:r w:rsidRPr="001E06B3">
        <w:rPr>
          <w:rFonts w:eastAsia="Calibri"/>
          <w:bCs/>
          <w:sz w:val="20"/>
          <w:szCs w:val="20"/>
          <w:lang w:val="en-US" w:eastAsia="en-US"/>
        </w:rPr>
        <w:t>chains</w:t>
      </w:r>
      <w:r w:rsidRPr="001E06B3">
        <w:rPr>
          <w:rFonts w:eastAsia="Calibri"/>
          <w:bCs/>
          <w:sz w:val="20"/>
          <w:szCs w:val="20"/>
          <w:lang w:val="uk-UA" w:eastAsia="en-US"/>
        </w:rPr>
        <w:t xml:space="preserve">: </w:t>
      </w:r>
      <w:r w:rsidRPr="001E06B3">
        <w:rPr>
          <w:rFonts w:eastAsia="Calibri"/>
          <w:bCs/>
          <w:sz w:val="20"/>
          <w:szCs w:val="20"/>
          <w:lang w:val="en-US" w:eastAsia="en-US"/>
        </w:rPr>
        <w:t>investment</w:t>
      </w:r>
      <w:r w:rsidRPr="001E06B3">
        <w:rPr>
          <w:rFonts w:eastAsia="Calibri"/>
          <w:bCs/>
          <w:sz w:val="20"/>
          <w:szCs w:val="20"/>
          <w:lang w:val="uk-UA" w:eastAsia="en-US"/>
        </w:rPr>
        <w:t xml:space="preserve"> </w:t>
      </w:r>
      <w:r w:rsidRPr="001E06B3">
        <w:rPr>
          <w:rFonts w:eastAsia="Calibri"/>
          <w:bCs/>
          <w:sz w:val="20"/>
          <w:szCs w:val="20"/>
          <w:lang w:val="en-US" w:eastAsia="en-US"/>
        </w:rPr>
        <w:t>and</w:t>
      </w:r>
      <w:r w:rsidRPr="001E06B3">
        <w:rPr>
          <w:rFonts w:eastAsia="Calibri"/>
          <w:bCs/>
          <w:sz w:val="20"/>
          <w:szCs w:val="20"/>
          <w:lang w:val="uk-UA" w:eastAsia="en-US"/>
        </w:rPr>
        <w:t xml:space="preserve"> </w:t>
      </w:r>
      <w:r w:rsidRPr="001E06B3">
        <w:rPr>
          <w:rFonts w:eastAsia="Calibri"/>
          <w:bCs/>
          <w:sz w:val="20"/>
          <w:szCs w:val="20"/>
          <w:lang w:val="en-US" w:eastAsia="en-US"/>
        </w:rPr>
        <w:t>trade</w:t>
      </w:r>
      <w:r w:rsidRPr="001E06B3">
        <w:rPr>
          <w:rFonts w:eastAsia="Calibri"/>
          <w:bCs/>
          <w:sz w:val="20"/>
          <w:szCs w:val="20"/>
          <w:lang w:val="uk-UA" w:eastAsia="en-US"/>
        </w:rPr>
        <w:t xml:space="preserve"> </w:t>
      </w:r>
      <w:r w:rsidRPr="001E06B3">
        <w:rPr>
          <w:rFonts w:eastAsia="Calibri"/>
          <w:bCs/>
          <w:sz w:val="20"/>
          <w:szCs w:val="20"/>
          <w:lang w:val="en-US" w:eastAsia="en-US"/>
        </w:rPr>
        <w:t>for</w:t>
      </w:r>
      <w:r w:rsidRPr="001E06B3">
        <w:rPr>
          <w:rFonts w:eastAsia="Calibri"/>
          <w:bCs/>
          <w:sz w:val="20"/>
          <w:szCs w:val="20"/>
          <w:lang w:val="uk-UA" w:eastAsia="en-US"/>
        </w:rPr>
        <w:t xml:space="preserve"> </w:t>
      </w:r>
      <w:r w:rsidRPr="001E06B3">
        <w:rPr>
          <w:rFonts w:eastAsia="Calibri"/>
          <w:bCs/>
          <w:sz w:val="20"/>
          <w:szCs w:val="20"/>
          <w:lang w:val="en-US" w:eastAsia="en-US"/>
        </w:rPr>
        <w:t>development</w:t>
      </w:r>
      <w:r w:rsidRPr="001E06B3">
        <w:rPr>
          <w:sz w:val="20"/>
          <w:szCs w:val="20"/>
          <w:lang w:val="uk-UA"/>
        </w:rPr>
        <w:t>. - 2013 – Р. 31.</w:t>
      </w:r>
    </w:p>
    <w:p w:rsidR="00A650B0" w:rsidRPr="001E06B3" w:rsidRDefault="00A650B0" w:rsidP="00C252FD">
      <w:pPr>
        <w:spacing w:line="240" w:lineRule="auto"/>
        <w:jc w:val="both"/>
        <w:rPr>
          <w:rStyle w:val="longtext"/>
          <w:sz w:val="20"/>
          <w:szCs w:val="20"/>
          <w:lang w:val="uk-UA"/>
        </w:rPr>
      </w:pPr>
    </w:p>
    <w:p w:rsidR="00A650B0" w:rsidRPr="001E06B3" w:rsidRDefault="00A650B0" w:rsidP="00E45DE3">
      <w:pPr>
        <w:spacing w:line="240" w:lineRule="auto"/>
        <w:ind w:firstLine="720"/>
        <w:jc w:val="both"/>
        <w:rPr>
          <w:rStyle w:val="longtext"/>
          <w:sz w:val="20"/>
          <w:szCs w:val="20"/>
          <w:lang w:val="uk-UA"/>
        </w:rPr>
      </w:pPr>
      <w:r w:rsidRPr="001E06B3">
        <w:rPr>
          <w:sz w:val="20"/>
          <w:szCs w:val="20"/>
          <w:lang w:val="uk-UA"/>
        </w:rPr>
        <w:t>Ввезенн</w:t>
      </w:r>
      <w:r w:rsidR="007E1441">
        <w:rPr>
          <w:sz w:val="20"/>
          <w:szCs w:val="20"/>
          <w:lang w:val="uk-UA"/>
        </w:rPr>
        <w:t>я ПІІ в розвинені країни зменшило</w:t>
      </w:r>
      <w:r w:rsidRPr="001E06B3">
        <w:rPr>
          <w:sz w:val="20"/>
          <w:szCs w:val="20"/>
          <w:lang w:val="uk-UA"/>
        </w:rPr>
        <w:t xml:space="preserve">ся на 32% до 561 млрд. </w:t>
      </w:r>
      <w:r w:rsidRPr="001E06B3">
        <w:rPr>
          <w:sz w:val="20"/>
          <w:szCs w:val="20"/>
        </w:rPr>
        <w:t>дол. США</w:t>
      </w:r>
      <w:r w:rsidRPr="001E06B3">
        <w:rPr>
          <w:sz w:val="20"/>
          <w:szCs w:val="20"/>
          <w:lang w:val="uk-UA"/>
        </w:rPr>
        <w:t xml:space="preserve">, до </w:t>
      </w:r>
      <w:proofErr w:type="gramStart"/>
      <w:r w:rsidRPr="001E06B3">
        <w:rPr>
          <w:sz w:val="20"/>
          <w:szCs w:val="20"/>
          <w:lang w:val="uk-UA"/>
        </w:rPr>
        <w:t>р</w:t>
      </w:r>
      <w:proofErr w:type="gramEnd"/>
      <w:r w:rsidRPr="001E06B3">
        <w:rPr>
          <w:sz w:val="20"/>
          <w:szCs w:val="20"/>
          <w:lang w:val="uk-UA"/>
        </w:rPr>
        <w:t xml:space="preserve">івня, який відмічався майже десять років тому. У той же час вивіз ПІІ з розвинених країн впав до рівня, близького до мінімальної точки 2009 року. </w:t>
      </w:r>
      <w:r w:rsidRPr="001E06B3">
        <w:rPr>
          <w:rStyle w:val="longtext"/>
          <w:sz w:val="20"/>
          <w:szCs w:val="20"/>
          <w:lang w:val="uk-UA"/>
        </w:rPr>
        <w:t>На Європейський Союз припадає майже дві третини глобального падіння ПІІ. Однак</w:t>
      </w:r>
      <w:r w:rsidRPr="001E06B3">
        <w:rPr>
          <w:sz w:val="20"/>
          <w:szCs w:val="20"/>
          <w:lang w:val="uk-UA"/>
        </w:rPr>
        <w:t xml:space="preserve"> </w:t>
      </w:r>
      <w:r w:rsidRPr="001E06B3">
        <w:rPr>
          <w:rStyle w:val="longtext"/>
          <w:sz w:val="20"/>
          <w:szCs w:val="20"/>
          <w:lang w:val="uk-UA"/>
        </w:rPr>
        <w:t>приплив до Японії став позитивним після двох послідовних років чистих продажів активів.</w:t>
      </w:r>
      <w:r w:rsidR="00E45DE3" w:rsidRPr="001E06B3">
        <w:rPr>
          <w:sz w:val="20"/>
          <w:szCs w:val="20"/>
          <w:lang w:val="uk-UA"/>
        </w:rPr>
        <w:t xml:space="preserve"> </w:t>
      </w:r>
      <w:r w:rsidRPr="001E06B3">
        <w:rPr>
          <w:rStyle w:val="longtext"/>
          <w:sz w:val="20"/>
          <w:szCs w:val="20"/>
          <w:lang w:val="uk-UA"/>
        </w:rPr>
        <w:t>Глобальні рейтинги найбільших одержувачів ПІІ також</w:t>
      </w:r>
      <w:r w:rsidR="00905388" w:rsidRPr="001E06B3">
        <w:rPr>
          <w:sz w:val="20"/>
          <w:szCs w:val="20"/>
          <w:lang w:val="uk-UA"/>
        </w:rPr>
        <w:t xml:space="preserve"> </w:t>
      </w:r>
      <w:r w:rsidRPr="001E06B3">
        <w:rPr>
          <w:rStyle w:val="longtext"/>
          <w:sz w:val="20"/>
          <w:szCs w:val="20"/>
          <w:lang w:val="uk-UA"/>
        </w:rPr>
        <w:t>відображають зміни структури інвестиційних потоків: 9 з 20 найбільших одержувачів є країнами, що розвиваються</w:t>
      </w:r>
      <w:r w:rsidR="00FB5C5C" w:rsidRPr="001E06B3">
        <w:rPr>
          <w:rStyle w:val="longtext"/>
          <w:sz w:val="20"/>
          <w:szCs w:val="20"/>
          <w:lang w:val="uk-UA"/>
        </w:rPr>
        <w:t xml:space="preserve"> </w:t>
      </w:r>
      <w:r w:rsidR="00FB5C5C" w:rsidRPr="001E06B3">
        <w:rPr>
          <w:sz w:val="20"/>
          <w:szCs w:val="20"/>
          <w:lang w:val="uk-UA"/>
        </w:rPr>
        <w:t>[2]</w:t>
      </w:r>
      <w:r w:rsidRPr="001E06B3">
        <w:rPr>
          <w:rStyle w:val="longtext"/>
          <w:sz w:val="20"/>
          <w:szCs w:val="20"/>
          <w:lang w:val="uk-UA"/>
        </w:rPr>
        <w:t>.</w:t>
      </w:r>
    </w:p>
    <w:p w:rsidR="00A650B0" w:rsidRPr="001E06B3" w:rsidRDefault="00A650B0" w:rsidP="006127BA">
      <w:pPr>
        <w:spacing w:line="240" w:lineRule="auto"/>
        <w:ind w:firstLine="720"/>
        <w:jc w:val="both"/>
        <w:rPr>
          <w:sz w:val="20"/>
          <w:szCs w:val="20"/>
          <w:lang w:val="uk-UA"/>
        </w:rPr>
      </w:pPr>
      <w:r w:rsidRPr="001E06B3">
        <w:rPr>
          <w:sz w:val="20"/>
          <w:szCs w:val="20"/>
          <w:lang w:val="uk-UA"/>
        </w:rPr>
        <w:t xml:space="preserve">Серед найбільших інвесторів по залученню ПІІ Китай (84 млрд. дол. США) піднявся з шостого на третє місце після Сполучених Штатів ( 329 млрд. дол. США) і Японії ( 123 млрд. дол. США), які так і тримають лідируючі позиції. Також в першу десятку ввійшли Німеччина, Канада та Швейцарія, які  покращили свій рейтинг в 2012 році в </w:t>
      </w:r>
      <w:r w:rsidR="00905388" w:rsidRPr="001E06B3">
        <w:rPr>
          <w:sz w:val="20"/>
          <w:szCs w:val="20"/>
          <w:lang w:val="uk-UA"/>
        </w:rPr>
        <w:t xml:space="preserve">порівнянні з 2011 роком (рис. </w:t>
      </w:r>
      <w:r w:rsidR="004C0F36" w:rsidRPr="001E06B3">
        <w:rPr>
          <w:sz w:val="20"/>
          <w:szCs w:val="20"/>
          <w:lang w:val="uk-UA"/>
        </w:rPr>
        <w:t>4</w:t>
      </w:r>
      <w:r w:rsidRPr="001E06B3">
        <w:rPr>
          <w:sz w:val="20"/>
          <w:szCs w:val="20"/>
          <w:lang w:val="uk-UA"/>
        </w:rPr>
        <w:t>.):</w:t>
      </w:r>
    </w:p>
    <w:p w:rsidR="004C0F36" w:rsidRPr="001E06B3" w:rsidRDefault="004C0F36" w:rsidP="006127BA">
      <w:pPr>
        <w:spacing w:line="240" w:lineRule="auto"/>
        <w:ind w:firstLine="720"/>
        <w:jc w:val="both"/>
        <w:rPr>
          <w:rStyle w:val="longtext"/>
          <w:sz w:val="20"/>
          <w:szCs w:val="20"/>
          <w:lang w:val="uk-UA"/>
        </w:rPr>
      </w:pPr>
    </w:p>
    <w:p w:rsidR="00A650B0" w:rsidRPr="001E06B3" w:rsidRDefault="00A650B0" w:rsidP="00C252FD">
      <w:pPr>
        <w:spacing w:line="240" w:lineRule="auto"/>
        <w:jc w:val="both"/>
        <w:rPr>
          <w:b/>
          <w:sz w:val="20"/>
          <w:szCs w:val="20"/>
          <w:lang w:val="uk-UA"/>
        </w:rPr>
      </w:pPr>
      <w:r w:rsidRPr="001E06B3">
        <w:rPr>
          <w:b/>
          <w:noProof/>
          <w:sz w:val="20"/>
          <w:szCs w:val="20"/>
          <w:lang w:val="uk-UA" w:eastAsia="uk-UA"/>
        </w:rPr>
        <w:drawing>
          <wp:inline distT="0" distB="0" distL="0" distR="0">
            <wp:extent cx="6084570" cy="2667000"/>
            <wp:effectExtent l="19050" t="0" r="1143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50B0" w:rsidRPr="001E06B3" w:rsidRDefault="00905388" w:rsidP="00905388">
      <w:pPr>
        <w:spacing w:line="240" w:lineRule="auto"/>
        <w:jc w:val="center"/>
        <w:rPr>
          <w:b/>
          <w:sz w:val="20"/>
          <w:szCs w:val="20"/>
          <w:lang w:val="uk-UA"/>
        </w:rPr>
      </w:pPr>
      <w:r w:rsidRPr="001E06B3">
        <w:rPr>
          <w:b/>
          <w:sz w:val="20"/>
          <w:szCs w:val="20"/>
          <w:lang w:val="uk-UA"/>
        </w:rPr>
        <w:t xml:space="preserve">Рис. </w:t>
      </w:r>
      <w:r w:rsidR="004C0F36" w:rsidRPr="001E06B3">
        <w:rPr>
          <w:b/>
          <w:sz w:val="20"/>
          <w:szCs w:val="20"/>
          <w:lang w:val="uk-UA"/>
        </w:rPr>
        <w:t>4</w:t>
      </w:r>
      <w:r w:rsidR="00A650B0" w:rsidRPr="001E06B3">
        <w:rPr>
          <w:b/>
          <w:sz w:val="20"/>
          <w:szCs w:val="20"/>
          <w:lang w:val="uk-UA"/>
        </w:rPr>
        <w:t>. Десятка приймаючих ПІІ країн в 2012 році, (млрд. дол. США).</w:t>
      </w:r>
    </w:p>
    <w:p w:rsidR="00A650B0" w:rsidRDefault="00A650B0" w:rsidP="004C0F36">
      <w:pPr>
        <w:spacing w:line="240" w:lineRule="auto"/>
        <w:jc w:val="both"/>
        <w:rPr>
          <w:sz w:val="20"/>
          <w:szCs w:val="20"/>
          <w:lang w:val="uk-UA"/>
        </w:rPr>
      </w:pPr>
      <w:r w:rsidRPr="001E06B3">
        <w:rPr>
          <w:sz w:val="20"/>
          <w:szCs w:val="20"/>
          <w:lang w:val="uk-UA"/>
        </w:rPr>
        <w:t xml:space="preserve">Примітка. Побудовано автором за даними UNCTAD. </w:t>
      </w:r>
      <w:proofErr w:type="spellStart"/>
      <w:r w:rsidRPr="001E06B3">
        <w:rPr>
          <w:sz w:val="20"/>
          <w:szCs w:val="20"/>
          <w:lang w:val="uk-UA"/>
        </w:rPr>
        <w:t>World</w:t>
      </w:r>
      <w:proofErr w:type="spellEnd"/>
      <w:r w:rsidRPr="001E06B3">
        <w:rPr>
          <w:sz w:val="20"/>
          <w:szCs w:val="20"/>
          <w:lang w:val="uk-UA"/>
        </w:rPr>
        <w:t xml:space="preserve"> </w:t>
      </w:r>
      <w:proofErr w:type="spellStart"/>
      <w:r w:rsidRPr="001E06B3">
        <w:rPr>
          <w:sz w:val="20"/>
          <w:szCs w:val="20"/>
          <w:lang w:val="uk-UA"/>
        </w:rPr>
        <w:t>Investment</w:t>
      </w:r>
      <w:proofErr w:type="spellEnd"/>
      <w:r w:rsidRPr="001E06B3">
        <w:rPr>
          <w:sz w:val="20"/>
          <w:szCs w:val="20"/>
          <w:lang w:val="uk-UA"/>
        </w:rPr>
        <w:t xml:space="preserve"> </w:t>
      </w:r>
      <w:proofErr w:type="spellStart"/>
      <w:r w:rsidRPr="001E06B3">
        <w:rPr>
          <w:sz w:val="20"/>
          <w:szCs w:val="20"/>
          <w:lang w:val="uk-UA"/>
        </w:rPr>
        <w:t>Report</w:t>
      </w:r>
      <w:proofErr w:type="spellEnd"/>
      <w:r w:rsidRPr="001E06B3">
        <w:rPr>
          <w:sz w:val="20"/>
          <w:szCs w:val="20"/>
          <w:lang w:val="uk-UA"/>
        </w:rPr>
        <w:t xml:space="preserve"> 2013. </w:t>
      </w:r>
      <w:r w:rsidRPr="001E06B3">
        <w:rPr>
          <w:rFonts w:eastAsia="Calibri"/>
          <w:bCs/>
          <w:sz w:val="20"/>
          <w:szCs w:val="20"/>
          <w:lang w:val="en-US" w:eastAsia="en-US"/>
        </w:rPr>
        <w:t>Global</w:t>
      </w:r>
      <w:r w:rsidRPr="001E06B3">
        <w:rPr>
          <w:rFonts w:eastAsia="Calibri"/>
          <w:bCs/>
          <w:sz w:val="20"/>
          <w:szCs w:val="20"/>
          <w:lang w:val="uk-UA" w:eastAsia="en-US"/>
        </w:rPr>
        <w:t xml:space="preserve"> </w:t>
      </w:r>
      <w:r w:rsidRPr="001E06B3">
        <w:rPr>
          <w:rFonts w:eastAsia="Calibri"/>
          <w:bCs/>
          <w:sz w:val="20"/>
          <w:szCs w:val="20"/>
          <w:lang w:val="en-US" w:eastAsia="en-US"/>
        </w:rPr>
        <w:t>value</w:t>
      </w:r>
      <w:r w:rsidRPr="001E06B3">
        <w:rPr>
          <w:rFonts w:eastAsia="Calibri"/>
          <w:bCs/>
          <w:sz w:val="20"/>
          <w:szCs w:val="20"/>
          <w:lang w:val="uk-UA" w:eastAsia="en-US"/>
        </w:rPr>
        <w:t xml:space="preserve"> </w:t>
      </w:r>
      <w:r w:rsidRPr="001E06B3">
        <w:rPr>
          <w:rFonts w:eastAsia="Calibri"/>
          <w:bCs/>
          <w:sz w:val="20"/>
          <w:szCs w:val="20"/>
          <w:lang w:val="en-US" w:eastAsia="en-US"/>
        </w:rPr>
        <w:t>chains</w:t>
      </w:r>
      <w:r w:rsidRPr="001E06B3">
        <w:rPr>
          <w:rFonts w:eastAsia="Calibri"/>
          <w:bCs/>
          <w:sz w:val="20"/>
          <w:szCs w:val="20"/>
          <w:lang w:val="uk-UA" w:eastAsia="en-US"/>
        </w:rPr>
        <w:t xml:space="preserve">: </w:t>
      </w:r>
      <w:r w:rsidRPr="001E06B3">
        <w:rPr>
          <w:rFonts w:eastAsia="Calibri"/>
          <w:bCs/>
          <w:sz w:val="20"/>
          <w:szCs w:val="20"/>
          <w:lang w:val="en-US" w:eastAsia="en-US"/>
        </w:rPr>
        <w:t>investment</w:t>
      </w:r>
      <w:r w:rsidRPr="001E06B3">
        <w:rPr>
          <w:rFonts w:eastAsia="Calibri"/>
          <w:bCs/>
          <w:sz w:val="20"/>
          <w:szCs w:val="20"/>
          <w:lang w:val="uk-UA" w:eastAsia="en-US"/>
        </w:rPr>
        <w:t xml:space="preserve"> </w:t>
      </w:r>
      <w:r w:rsidRPr="001E06B3">
        <w:rPr>
          <w:rFonts w:eastAsia="Calibri"/>
          <w:bCs/>
          <w:sz w:val="20"/>
          <w:szCs w:val="20"/>
          <w:lang w:val="en-US" w:eastAsia="en-US"/>
        </w:rPr>
        <w:t>and</w:t>
      </w:r>
      <w:r w:rsidRPr="001E06B3">
        <w:rPr>
          <w:rFonts w:eastAsia="Calibri"/>
          <w:bCs/>
          <w:sz w:val="20"/>
          <w:szCs w:val="20"/>
          <w:lang w:val="uk-UA" w:eastAsia="en-US"/>
        </w:rPr>
        <w:t xml:space="preserve"> </w:t>
      </w:r>
      <w:r w:rsidRPr="001E06B3">
        <w:rPr>
          <w:rFonts w:eastAsia="Calibri"/>
          <w:bCs/>
          <w:sz w:val="20"/>
          <w:szCs w:val="20"/>
          <w:lang w:val="en-US" w:eastAsia="en-US"/>
        </w:rPr>
        <w:t>trade</w:t>
      </w:r>
      <w:r w:rsidRPr="001E06B3">
        <w:rPr>
          <w:rFonts w:eastAsia="Calibri"/>
          <w:bCs/>
          <w:sz w:val="20"/>
          <w:szCs w:val="20"/>
          <w:lang w:val="uk-UA" w:eastAsia="en-US"/>
        </w:rPr>
        <w:t xml:space="preserve"> </w:t>
      </w:r>
      <w:r w:rsidRPr="001E06B3">
        <w:rPr>
          <w:rFonts w:eastAsia="Calibri"/>
          <w:bCs/>
          <w:sz w:val="20"/>
          <w:szCs w:val="20"/>
          <w:lang w:val="en-US" w:eastAsia="en-US"/>
        </w:rPr>
        <w:t>for</w:t>
      </w:r>
      <w:r w:rsidRPr="001E06B3">
        <w:rPr>
          <w:rFonts w:eastAsia="Calibri"/>
          <w:bCs/>
          <w:sz w:val="20"/>
          <w:szCs w:val="20"/>
          <w:lang w:val="uk-UA" w:eastAsia="en-US"/>
        </w:rPr>
        <w:t xml:space="preserve"> </w:t>
      </w:r>
      <w:r w:rsidRPr="001E06B3">
        <w:rPr>
          <w:rFonts w:eastAsia="Calibri"/>
          <w:bCs/>
          <w:sz w:val="20"/>
          <w:szCs w:val="20"/>
          <w:lang w:val="en-US" w:eastAsia="en-US"/>
        </w:rPr>
        <w:t>development</w:t>
      </w:r>
      <w:r w:rsidRPr="001E06B3">
        <w:rPr>
          <w:sz w:val="20"/>
          <w:szCs w:val="20"/>
          <w:lang w:val="uk-UA"/>
        </w:rPr>
        <w:t>. - 2013 – Р. 15.</w:t>
      </w:r>
    </w:p>
    <w:p w:rsidR="007E1441" w:rsidRPr="001E06B3" w:rsidRDefault="007E1441" w:rsidP="004C0F36">
      <w:pPr>
        <w:spacing w:line="240" w:lineRule="auto"/>
        <w:jc w:val="both"/>
        <w:rPr>
          <w:sz w:val="20"/>
          <w:szCs w:val="20"/>
          <w:lang w:val="uk-UA"/>
        </w:rPr>
      </w:pPr>
    </w:p>
    <w:p w:rsidR="00A650B0" w:rsidRPr="001E06B3" w:rsidRDefault="00A650B0" w:rsidP="00C252FD">
      <w:pPr>
        <w:spacing w:line="240" w:lineRule="auto"/>
        <w:ind w:firstLine="720"/>
        <w:jc w:val="both"/>
        <w:rPr>
          <w:sz w:val="20"/>
          <w:szCs w:val="20"/>
          <w:lang w:val="uk-UA"/>
        </w:rPr>
      </w:pPr>
      <w:r w:rsidRPr="001E06B3">
        <w:rPr>
          <w:sz w:val="20"/>
          <w:szCs w:val="20"/>
          <w:lang w:val="uk-UA"/>
        </w:rPr>
        <w:t>Серед регіонів, що розвиваються приплив в Азію та Латинську Америку і Карибський басейн залишився на історично високому рівні, проте темпи зростання трохи ослабли. В порівнянні з 2012 роком відбулося збільшення припливу ПІІ в Африку. Зростають ПІІ і в країнах зі структурно слабкою економікою, до яких відносяться найменш розвинені країни, внутрішньоконтинентальні країни і малі острівні держави, що розвиваються.</w:t>
      </w:r>
    </w:p>
    <w:p w:rsidR="00A650B0" w:rsidRPr="001E06B3" w:rsidRDefault="00A650B0" w:rsidP="00905388">
      <w:pPr>
        <w:spacing w:line="240" w:lineRule="auto"/>
        <w:ind w:firstLine="720"/>
        <w:jc w:val="both"/>
        <w:rPr>
          <w:sz w:val="20"/>
          <w:szCs w:val="20"/>
          <w:lang w:val="uk-UA"/>
        </w:rPr>
      </w:pPr>
      <w:r w:rsidRPr="001E06B3">
        <w:rPr>
          <w:sz w:val="20"/>
          <w:szCs w:val="20"/>
          <w:lang w:val="uk-UA"/>
        </w:rPr>
        <w:lastRenderedPageBreak/>
        <w:t xml:space="preserve">Вивіз ПІІ з країн, що розвиваються досяг 426 млрд. </w:t>
      </w:r>
      <w:r w:rsidRPr="001E06B3">
        <w:rPr>
          <w:sz w:val="20"/>
          <w:szCs w:val="20"/>
        </w:rPr>
        <w:t>дол. США</w:t>
      </w:r>
      <w:r w:rsidRPr="001E06B3">
        <w:rPr>
          <w:sz w:val="20"/>
          <w:szCs w:val="20"/>
          <w:lang w:val="uk-UA"/>
        </w:rPr>
        <w:t xml:space="preserve">, рекордні 31% </w:t>
      </w:r>
      <w:proofErr w:type="gramStart"/>
      <w:r w:rsidRPr="001E06B3">
        <w:rPr>
          <w:sz w:val="20"/>
          <w:szCs w:val="20"/>
          <w:lang w:val="uk-UA"/>
        </w:rPr>
        <w:t>св</w:t>
      </w:r>
      <w:proofErr w:type="gramEnd"/>
      <w:r w:rsidRPr="001E06B3">
        <w:rPr>
          <w:sz w:val="20"/>
          <w:szCs w:val="20"/>
          <w:lang w:val="uk-UA"/>
        </w:rPr>
        <w:t xml:space="preserve">ітового обсягу. Відтік ПІІ з країн Азії та Латинської Америки і Карибського басейну зберігся на рівні 2011 року. Країни Азії - найбільше джерело ПІІ: на них припадає три чверті загальної суми по країнам, що розвиваються. Вивіз ПІІ з Африки майже потроївся. </w:t>
      </w:r>
      <w:r w:rsidRPr="001E06B3">
        <w:rPr>
          <w:rStyle w:val="longtext"/>
          <w:sz w:val="20"/>
          <w:szCs w:val="20"/>
          <w:lang w:val="uk-UA"/>
        </w:rPr>
        <w:t>Країни БРІКС (Бразилія, Росія, Індія, Китай і Південна Африка) як і раніше є</w:t>
      </w:r>
      <w:r w:rsidRPr="001E06B3">
        <w:rPr>
          <w:sz w:val="20"/>
          <w:szCs w:val="20"/>
          <w:lang w:val="uk-UA"/>
        </w:rPr>
        <w:t xml:space="preserve"> </w:t>
      </w:r>
      <w:r w:rsidRPr="001E06B3">
        <w:rPr>
          <w:rStyle w:val="longtext"/>
          <w:sz w:val="20"/>
          <w:szCs w:val="20"/>
          <w:lang w:val="uk-UA"/>
        </w:rPr>
        <w:t>головним джерелом ПІІ серед країн, що розвиваються. Потоки від цих п'яти країн зросли з</w:t>
      </w:r>
      <w:r w:rsidRPr="001E06B3">
        <w:rPr>
          <w:sz w:val="20"/>
          <w:szCs w:val="20"/>
          <w:lang w:val="uk-UA"/>
        </w:rPr>
        <w:t xml:space="preserve"> </w:t>
      </w:r>
      <w:r w:rsidR="007E1441">
        <w:rPr>
          <w:rStyle w:val="longtext"/>
          <w:sz w:val="20"/>
          <w:szCs w:val="20"/>
          <w:lang w:val="uk-UA"/>
        </w:rPr>
        <w:t>7 млрд</w:t>
      </w:r>
      <w:r w:rsidRPr="001E06B3">
        <w:rPr>
          <w:rStyle w:val="longtext"/>
          <w:sz w:val="20"/>
          <w:szCs w:val="20"/>
          <w:lang w:val="uk-UA"/>
        </w:rPr>
        <w:t xml:space="preserve">. </w:t>
      </w:r>
      <w:r w:rsidRPr="001E06B3">
        <w:rPr>
          <w:sz w:val="20"/>
          <w:szCs w:val="20"/>
          <w:lang w:val="uk-UA"/>
        </w:rPr>
        <w:t xml:space="preserve">дол. </w:t>
      </w:r>
      <w:r w:rsidRPr="001E06B3">
        <w:rPr>
          <w:sz w:val="20"/>
          <w:szCs w:val="20"/>
        </w:rPr>
        <w:t>США</w:t>
      </w:r>
      <w:r w:rsidRPr="001E06B3">
        <w:rPr>
          <w:rStyle w:val="longtext"/>
          <w:sz w:val="20"/>
          <w:szCs w:val="20"/>
          <w:lang w:val="uk-UA"/>
        </w:rPr>
        <w:t xml:space="preserve"> у 2000 році до145 млрд. </w:t>
      </w:r>
      <w:r w:rsidRPr="001E06B3">
        <w:rPr>
          <w:sz w:val="20"/>
          <w:szCs w:val="20"/>
        </w:rPr>
        <w:t>дол. США</w:t>
      </w:r>
      <w:r w:rsidRPr="001E06B3">
        <w:rPr>
          <w:rStyle w:val="longtext"/>
          <w:sz w:val="20"/>
          <w:szCs w:val="20"/>
          <w:lang w:val="uk-UA"/>
        </w:rPr>
        <w:t xml:space="preserve"> у 2012 році, що становить 10% від </w:t>
      </w:r>
      <w:proofErr w:type="gramStart"/>
      <w:r w:rsidRPr="001E06B3">
        <w:rPr>
          <w:rStyle w:val="longtext"/>
          <w:sz w:val="20"/>
          <w:szCs w:val="20"/>
          <w:lang w:val="uk-UA"/>
        </w:rPr>
        <w:t>св</w:t>
      </w:r>
      <w:proofErr w:type="gramEnd"/>
      <w:r w:rsidRPr="001E06B3">
        <w:rPr>
          <w:rStyle w:val="longtext"/>
          <w:sz w:val="20"/>
          <w:szCs w:val="20"/>
          <w:lang w:val="uk-UA"/>
        </w:rPr>
        <w:t>ітового обсягу. Їх ТНК</w:t>
      </w:r>
      <w:r w:rsidRPr="001E06B3">
        <w:rPr>
          <w:sz w:val="20"/>
          <w:szCs w:val="20"/>
          <w:lang w:val="uk-UA"/>
        </w:rPr>
        <w:t xml:space="preserve"> </w:t>
      </w:r>
      <w:r w:rsidRPr="001E06B3">
        <w:rPr>
          <w:rStyle w:val="longtext"/>
          <w:sz w:val="20"/>
          <w:szCs w:val="20"/>
          <w:lang w:val="uk-UA"/>
        </w:rPr>
        <w:t xml:space="preserve">стають все більш активними, в тому числі в Африці. </w:t>
      </w:r>
    </w:p>
    <w:p w:rsidR="00A650B0" w:rsidRPr="001E06B3" w:rsidRDefault="00A650B0" w:rsidP="00C252FD">
      <w:pPr>
        <w:spacing w:line="240" w:lineRule="auto"/>
        <w:ind w:firstLine="720"/>
        <w:jc w:val="both"/>
        <w:rPr>
          <w:rStyle w:val="longtext"/>
          <w:sz w:val="20"/>
          <w:szCs w:val="20"/>
          <w:lang w:val="uk-UA"/>
        </w:rPr>
      </w:pPr>
      <w:r w:rsidRPr="001E06B3">
        <w:rPr>
          <w:sz w:val="20"/>
          <w:szCs w:val="20"/>
          <w:lang w:val="uk-UA"/>
        </w:rPr>
        <w:t>В умовах невизначеності економічних перспектив ТНК розвинені країни як і раніше займають очікувальну позицію по відношенню до нових інвестицій або скиданню іноземних активів, замість того, щоб брати курс на активну зовнішню експансію. У 2012 році 22 з 38 розвинених країн показали більш низькі цифри вивозу ПІІ, що призвело до падіння ПІІ на 23% до 909 млрд.</w:t>
      </w:r>
      <w:r w:rsidRPr="001E06B3">
        <w:rPr>
          <w:sz w:val="20"/>
          <w:szCs w:val="20"/>
        </w:rPr>
        <w:t xml:space="preserve"> дол. США</w:t>
      </w:r>
      <w:r w:rsidRPr="001E06B3">
        <w:rPr>
          <w:sz w:val="20"/>
          <w:szCs w:val="20"/>
          <w:lang w:val="uk-UA"/>
        </w:rPr>
        <w:t>.</w:t>
      </w:r>
      <w:r w:rsidRPr="001E06B3">
        <w:rPr>
          <w:rStyle w:val="longtext"/>
          <w:sz w:val="20"/>
          <w:szCs w:val="20"/>
          <w:lang w:val="uk-UA"/>
        </w:rPr>
        <w:t xml:space="preserve"> В Європі та Північній Америці побачили значне скорочення</w:t>
      </w:r>
      <w:r w:rsidRPr="001E06B3">
        <w:rPr>
          <w:sz w:val="20"/>
          <w:szCs w:val="20"/>
          <w:lang w:val="uk-UA"/>
        </w:rPr>
        <w:t xml:space="preserve"> </w:t>
      </w:r>
      <w:r w:rsidRPr="001E06B3">
        <w:rPr>
          <w:rStyle w:val="longtext"/>
          <w:sz w:val="20"/>
          <w:szCs w:val="20"/>
          <w:lang w:val="uk-UA"/>
        </w:rPr>
        <w:t>відтоку, хоча Японія порушила тенденцію, зберігаючи свої позиції в якості другої за величиною країни-інвестора в</w:t>
      </w:r>
      <w:r w:rsidRPr="001E06B3">
        <w:rPr>
          <w:sz w:val="20"/>
          <w:szCs w:val="20"/>
          <w:lang w:val="uk-UA"/>
        </w:rPr>
        <w:t xml:space="preserve"> </w:t>
      </w:r>
      <w:r w:rsidRPr="001E06B3">
        <w:rPr>
          <w:rStyle w:val="longtext"/>
          <w:sz w:val="20"/>
          <w:szCs w:val="20"/>
          <w:lang w:val="uk-UA"/>
        </w:rPr>
        <w:t>світі</w:t>
      </w:r>
      <w:r w:rsidR="00FB5C5C" w:rsidRPr="001E06B3">
        <w:rPr>
          <w:rStyle w:val="longtext"/>
          <w:sz w:val="20"/>
          <w:szCs w:val="20"/>
          <w:lang w:val="uk-UA"/>
        </w:rPr>
        <w:t xml:space="preserve"> </w:t>
      </w:r>
      <w:r w:rsidR="00FB5C5C" w:rsidRPr="001E06B3">
        <w:rPr>
          <w:sz w:val="20"/>
          <w:szCs w:val="20"/>
          <w:lang w:val="uk-UA"/>
        </w:rPr>
        <w:t>[2]</w:t>
      </w:r>
      <w:r w:rsidRPr="001E06B3">
        <w:rPr>
          <w:rStyle w:val="longtext"/>
          <w:sz w:val="20"/>
          <w:szCs w:val="20"/>
          <w:lang w:val="uk-UA"/>
        </w:rPr>
        <w:t xml:space="preserve">. </w:t>
      </w:r>
    </w:p>
    <w:p w:rsidR="00A650B0" w:rsidRPr="001E06B3" w:rsidRDefault="00A650B0" w:rsidP="00C252FD">
      <w:pPr>
        <w:spacing w:line="240" w:lineRule="auto"/>
        <w:ind w:firstLine="720"/>
        <w:jc w:val="both"/>
        <w:rPr>
          <w:rStyle w:val="longtext"/>
          <w:sz w:val="20"/>
          <w:szCs w:val="20"/>
          <w:lang w:val="uk-UA"/>
        </w:rPr>
      </w:pPr>
      <w:r w:rsidRPr="001E06B3">
        <w:rPr>
          <w:rStyle w:val="longtext"/>
          <w:sz w:val="20"/>
          <w:szCs w:val="20"/>
          <w:lang w:val="uk-UA"/>
        </w:rPr>
        <w:t xml:space="preserve">Основними </w:t>
      </w:r>
      <w:r w:rsidRPr="001E06B3">
        <w:rPr>
          <w:sz w:val="20"/>
          <w:szCs w:val="20"/>
          <w:lang w:val="uk-UA"/>
        </w:rPr>
        <w:t>країнами-інвесторами в 2012 році</w:t>
      </w:r>
      <w:r w:rsidRPr="001E06B3">
        <w:rPr>
          <w:rStyle w:val="longtext"/>
          <w:sz w:val="20"/>
          <w:szCs w:val="20"/>
          <w:lang w:val="uk-UA"/>
        </w:rPr>
        <w:t xml:space="preserve"> як в минулому році залишилися </w:t>
      </w:r>
      <w:r w:rsidRPr="001E06B3">
        <w:rPr>
          <w:sz w:val="20"/>
          <w:szCs w:val="20"/>
        </w:rPr>
        <w:t>США</w:t>
      </w:r>
      <w:r w:rsidRPr="001E06B3">
        <w:rPr>
          <w:rStyle w:val="longtext"/>
          <w:sz w:val="20"/>
          <w:szCs w:val="20"/>
          <w:lang w:val="uk-UA"/>
        </w:rPr>
        <w:t xml:space="preserve"> (168 </w:t>
      </w:r>
      <w:r w:rsidRPr="001E06B3">
        <w:rPr>
          <w:sz w:val="20"/>
          <w:szCs w:val="20"/>
          <w:lang w:val="uk-UA"/>
        </w:rPr>
        <w:t>млрд. дол. США</w:t>
      </w:r>
      <w:r w:rsidRPr="001E06B3">
        <w:rPr>
          <w:rStyle w:val="longtext"/>
          <w:sz w:val="20"/>
          <w:szCs w:val="20"/>
          <w:lang w:val="uk-UA"/>
        </w:rPr>
        <w:t xml:space="preserve">) та Китай (121 </w:t>
      </w:r>
      <w:r w:rsidRPr="001E06B3">
        <w:rPr>
          <w:sz w:val="20"/>
          <w:szCs w:val="20"/>
          <w:lang w:val="uk-UA"/>
        </w:rPr>
        <w:t xml:space="preserve">млрд. дол. США). Гонконг перемістився з четвертого на третє, а Бразилія з </w:t>
      </w:r>
      <w:r w:rsidR="007E1441" w:rsidRPr="001E06B3">
        <w:rPr>
          <w:sz w:val="20"/>
          <w:szCs w:val="20"/>
          <w:lang w:val="uk-UA"/>
        </w:rPr>
        <w:t>п’ятого</w:t>
      </w:r>
      <w:r w:rsidRPr="001E06B3">
        <w:rPr>
          <w:sz w:val="20"/>
          <w:szCs w:val="20"/>
          <w:lang w:val="uk-UA"/>
        </w:rPr>
        <w:t xml:space="preserve"> на четверте місце серед </w:t>
      </w:r>
      <w:r w:rsidRPr="001E06B3">
        <w:rPr>
          <w:rStyle w:val="longtext"/>
          <w:sz w:val="20"/>
          <w:szCs w:val="20"/>
          <w:lang w:val="uk-UA"/>
        </w:rPr>
        <w:t xml:space="preserve"> </w:t>
      </w:r>
      <w:r w:rsidRPr="001E06B3">
        <w:rPr>
          <w:sz w:val="20"/>
          <w:szCs w:val="20"/>
          <w:lang w:val="uk-UA"/>
        </w:rPr>
        <w:t>найбільших країн-інвесторів. Також до десятки входять такі краї</w:t>
      </w:r>
      <w:r w:rsidRPr="001E06B3">
        <w:rPr>
          <w:rStyle w:val="longtext"/>
          <w:sz w:val="20"/>
          <w:szCs w:val="20"/>
          <w:lang w:val="uk-UA"/>
        </w:rPr>
        <w:t>ни як британські Віргінські острови, Великобританія, Австралія, Сінгапу</w:t>
      </w:r>
      <w:r w:rsidR="00905388" w:rsidRPr="001E06B3">
        <w:rPr>
          <w:rStyle w:val="longtext"/>
          <w:sz w:val="20"/>
          <w:szCs w:val="20"/>
          <w:lang w:val="uk-UA"/>
        </w:rPr>
        <w:t xml:space="preserve">р, Росія та Канада (рис. </w:t>
      </w:r>
      <w:r w:rsidR="004C0F36" w:rsidRPr="001E06B3">
        <w:rPr>
          <w:rStyle w:val="longtext"/>
          <w:sz w:val="20"/>
          <w:szCs w:val="20"/>
          <w:lang w:val="uk-UA"/>
        </w:rPr>
        <w:t>5</w:t>
      </w:r>
      <w:r w:rsidRPr="001E06B3">
        <w:rPr>
          <w:rStyle w:val="longtext"/>
          <w:sz w:val="20"/>
          <w:szCs w:val="20"/>
          <w:lang w:val="uk-UA"/>
        </w:rPr>
        <w:t>.)</w:t>
      </w:r>
      <w:r w:rsidR="00905388" w:rsidRPr="001E06B3">
        <w:rPr>
          <w:rStyle w:val="longtext"/>
          <w:sz w:val="20"/>
          <w:szCs w:val="20"/>
          <w:lang w:val="uk-UA"/>
        </w:rPr>
        <w:t>:</w:t>
      </w:r>
    </w:p>
    <w:p w:rsidR="00905388" w:rsidRPr="001E06B3" w:rsidRDefault="00905388" w:rsidP="00C252FD">
      <w:pPr>
        <w:spacing w:line="240" w:lineRule="auto"/>
        <w:ind w:firstLine="720"/>
        <w:jc w:val="both"/>
        <w:rPr>
          <w:sz w:val="20"/>
          <w:szCs w:val="20"/>
          <w:lang w:val="uk-UA"/>
        </w:rPr>
      </w:pPr>
    </w:p>
    <w:p w:rsidR="00A650B0" w:rsidRPr="001E06B3" w:rsidRDefault="00A650B0" w:rsidP="00C252FD">
      <w:pPr>
        <w:spacing w:line="240" w:lineRule="auto"/>
        <w:jc w:val="both"/>
        <w:rPr>
          <w:b/>
          <w:sz w:val="20"/>
          <w:szCs w:val="20"/>
          <w:lang w:val="uk-UA"/>
        </w:rPr>
      </w:pPr>
      <w:r w:rsidRPr="001E06B3">
        <w:rPr>
          <w:b/>
          <w:noProof/>
          <w:sz w:val="20"/>
          <w:szCs w:val="20"/>
          <w:lang w:val="uk-UA" w:eastAsia="uk-UA"/>
        </w:rPr>
        <w:drawing>
          <wp:inline distT="0" distB="0" distL="0" distR="0">
            <wp:extent cx="6116955" cy="2847975"/>
            <wp:effectExtent l="19050" t="0" r="17145"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50B0" w:rsidRPr="001E06B3" w:rsidRDefault="00905388" w:rsidP="004C0F36">
      <w:pPr>
        <w:spacing w:line="240" w:lineRule="auto"/>
        <w:jc w:val="center"/>
        <w:rPr>
          <w:b/>
          <w:sz w:val="20"/>
          <w:szCs w:val="20"/>
          <w:lang w:val="uk-UA"/>
        </w:rPr>
      </w:pPr>
      <w:r w:rsidRPr="001E06B3">
        <w:rPr>
          <w:b/>
          <w:sz w:val="20"/>
          <w:szCs w:val="20"/>
          <w:lang w:val="uk-UA"/>
        </w:rPr>
        <w:t xml:space="preserve">Рис. </w:t>
      </w:r>
      <w:r w:rsidR="004C0F36" w:rsidRPr="001E06B3">
        <w:rPr>
          <w:b/>
          <w:sz w:val="20"/>
          <w:szCs w:val="20"/>
          <w:lang w:val="uk-UA"/>
        </w:rPr>
        <w:t>5</w:t>
      </w:r>
      <w:r w:rsidR="00A650B0" w:rsidRPr="001E06B3">
        <w:rPr>
          <w:b/>
          <w:sz w:val="20"/>
          <w:szCs w:val="20"/>
          <w:lang w:val="uk-UA"/>
        </w:rPr>
        <w:t>. Десятка найбільших країн-інвесторів в 2012 році, (млрд. дол. США).</w:t>
      </w:r>
    </w:p>
    <w:p w:rsidR="00A650B0" w:rsidRPr="001E06B3" w:rsidRDefault="00A650B0" w:rsidP="00C252FD">
      <w:pPr>
        <w:spacing w:line="240" w:lineRule="auto"/>
        <w:jc w:val="both"/>
        <w:rPr>
          <w:sz w:val="20"/>
          <w:szCs w:val="20"/>
          <w:lang w:val="uk-UA"/>
        </w:rPr>
      </w:pPr>
      <w:r w:rsidRPr="001E06B3">
        <w:rPr>
          <w:sz w:val="20"/>
          <w:szCs w:val="20"/>
          <w:lang w:val="uk-UA"/>
        </w:rPr>
        <w:t xml:space="preserve">Примітка. Побудовано автором за даними UNCTAD. </w:t>
      </w:r>
      <w:proofErr w:type="spellStart"/>
      <w:r w:rsidRPr="001E06B3">
        <w:rPr>
          <w:sz w:val="20"/>
          <w:szCs w:val="20"/>
          <w:lang w:val="uk-UA"/>
        </w:rPr>
        <w:t>World</w:t>
      </w:r>
      <w:proofErr w:type="spellEnd"/>
      <w:r w:rsidRPr="001E06B3">
        <w:rPr>
          <w:sz w:val="20"/>
          <w:szCs w:val="20"/>
          <w:lang w:val="uk-UA"/>
        </w:rPr>
        <w:t xml:space="preserve"> </w:t>
      </w:r>
      <w:proofErr w:type="spellStart"/>
      <w:r w:rsidRPr="001E06B3">
        <w:rPr>
          <w:sz w:val="20"/>
          <w:szCs w:val="20"/>
          <w:lang w:val="uk-UA"/>
        </w:rPr>
        <w:t>Investment</w:t>
      </w:r>
      <w:proofErr w:type="spellEnd"/>
      <w:r w:rsidRPr="001E06B3">
        <w:rPr>
          <w:sz w:val="20"/>
          <w:szCs w:val="20"/>
          <w:lang w:val="uk-UA"/>
        </w:rPr>
        <w:t xml:space="preserve"> </w:t>
      </w:r>
      <w:proofErr w:type="spellStart"/>
      <w:r w:rsidRPr="001E06B3">
        <w:rPr>
          <w:sz w:val="20"/>
          <w:szCs w:val="20"/>
          <w:lang w:val="uk-UA"/>
        </w:rPr>
        <w:t>Report</w:t>
      </w:r>
      <w:proofErr w:type="spellEnd"/>
      <w:r w:rsidRPr="001E06B3">
        <w:rPr>
          <w:sz w:val="20"/>
          <w:szCs w:val="20"/>
          <w:lang w:val="uk-UA"/>
        </w:rPr>
        <w:t xml:space="preserve"> 2013. </w:t>
      </w:r>
      <w:r w:rsidRPr="001E06B3">
        <w:rPr>
          <w:rFonts w:eastAsia="Calibri"/>
          <w:bCs/>
          <w:sz w:val="20"/>
          <w:szCs w:val="20"/>
          <w:lang w:val="en-US" w:eastAsia="en-US"/>
        </w:rPr>
        <w:t>Global</w:t>
      </w:r>
      <w:r w:rsidRPr="001E06B3">
        <w:rPr>
          <w:rFonts w:eastAsia="Calibri"/>
          <w:bCs/>
          <w:sz w:val="20"/>
          <w:szCs w:val="20"/>
          <w:lang w:val="uk-UA" w:eastAsia="en-US"/>
        </w:rPr>
        <w:t xml:space="preserve"> </w:t>
      </w:r>
      <w:r w:rsidRPr="001E06B3">
        <w:rPr>
          <w:rFonts w:eastAsia="Calibri"/>
          <w:bCs/>
          <w:sz w:val="20"/>
          <w:szCs w:val="20"/>
          <w:lang w:val="en-US" w:eastAsia="en-US"/>
        </w:rPr>
        <w:t>value</w:t>
      </w:r>
      <w:r w:rsidRPr="001E06B3">
        <w:rPr>
          <w:rFonts w:eastAsia="Calibri"/>
          <w:bCs/>
          <w:sz w:val="20"/>
          <w:szCs w:val="20"/>
          <w:lang w:val="uk-UA" w:eastAsia="en-US"/>
        </w:rPr>
        <w:t xml:space="preserve"> </w:t>
      </w:r>
      <w:r w:rsidRPr="001E06B3">
        <w:rPr>
          <w:rFonts w:eastAsia="Calibri"/>
          <w:bCs/>
          <w:sz w:val="20"/>
          <w:szCs w:val="20"/>
          <w:lang w:val="en-US" w:eastAsia="en-US"/>
        </w:rPr>
        <w:t>chains</w:t>
      </w:r>
      <w:r w:rsidRPr="001E06B3">
        <w:rPr>
          <w:rFonts w:eastAsia="Calibri"/>
          <w:bCs/>
          <w:sz w:val="20"/>
          <w:szCs w:val="20"/>
          <w:lang w:val="uk-UA" w:eastAsia="en-US"/>
        </w:rPr>
        <w:t xml:space="preserve">: </w:t>
      </w:r>
      <w:r w:rsidRPr="001E06B3">
        <w:rPr>
          <w:rFonts w:eastAsia="Calibri"/>
          <w:bCs/>
          <w:sz w:val="20"/>
          <w:szCs w:val="20"/>
          <w:lang w:val="en-US" w:eastAsia="en-US"/>
        </w:rPr>
        <w:t>investment</w:t>
      </w:r>
      <w:r w:rsidRPr="001E06B3">
        <w:rPr>
          <w:rFonts w:eastAsia="Calibri"/>
          <w:bCs/>
          <w:sz w:val="20"/>
          <w:szCs w:val="20"/>
          <w:lang w:val="uk-UA" w:eastAsia="en-US"/>
        </w:rPr>
        <w:t xml:space="preserve"> </w:t>
      </w:r>
      <w:r w:rsidRPr="001E06B3">
        <w:rPr>
          <w:rFonts w:eastAsia="Calibri"/>
          <w:bCs/>
          <w:sz w:val="20"/>
          <w:szCs w:val="20"/>
          <w:lang w:val="en-US" w:eastAsia="en-US"/>
        </w:rPr>
        <w:t>and</w:t>
      </w:r>
      <w:r w:rsidRPr="001E06B3">
        <w:rPr>
          <w:rFonts w:eastAsia="Calibri"/>
          <w:bCs/>
          <w:sz w:val="20"/>
          <w:szCs w:val="20"/>
          <w:lang w:val="uk-UA" w:eastAsia="en-US"/>
        </w:rPr>
        <w:t xml:space="preserve"> </w:t>
      </w:r>
      <w:r w:rsidRPr="001E06B3">
        <w:rPr>
          <w:rFonts w:eastAsia="Calibri"/>
          <w:bCs/>
          <w:sz w:val="20"/>
          <w:szCs w:val="20"/>
          <w:lang w:val="en-US" w:eastAsia="en-US"/>
        </w:rPr>
        <w:t>trade</w:t>
      </w:r>
      <w:r w:rsidRPr="001E06B3">
        <w:rPr>
          <w:rFonts w:eastAsia="Calibri"/>
          <w:bCs/>
          <w:sz w:val="20"/>
          <w:szCs w:val="20"/>
          <w:lang w:val="uk-UA" w:eastAsia="en-US"/>
        </w:rPr>
        <w:t xml:space="preserve"> </w:t>
      </w:r>
      <w:r w:rsidRPr="001E06B3">
        <w:rPr>
          <w:rFonts w:eastAsia="Calibri"/>
          <w:bCs/>
          <w:sz w:val="20"/>
          <w:szCs w:val="20"/>
          <w:lang w:val="en-US" w:eastAsia="en-US"/>
        </w:rPr>
        <w:t>for</w:t>
      </w:r>
      <w:r w:rsidRPr="001E06B3">
        <w:rPr>
          <w:rFonts w:eastAsia="Calibri"/>
          <w:bCs/>
          <w:sz w:val="20"/>
          <w:szCs w:val="20"/>
          <w:lang w:val="uk-UA" w:eastAsia="en-US"/>
        </w:rPr>
        <w:t xml:space="preserve"> </w:t>
      </w:r>
      <w:r w:rsidRPr="001E06B3">
        <w:rPr>
          <w:rFonts w:eastAsia="Calibri"/>
          <w:bCs/>
          <w:sz w:val="20"/>
          <w:szCs w:val="20"/>
          <w:lang w:val="en-US" w:eastAsia="en-US"/>
        </w:rPr>
        <w:t>development</w:t>
      </w:r>
      <w:r w:rsidRPr="001E06B3">
        <w:rPr>
          <w:sz w:val="20"/>
          <w:szCs w:val="20"/>
          <w:lang w:val="uk-UA"/>
        </w:rPr>
        <w:t>. - 2013 – Р. 15.</w:t>
      </w:r>
    </w:p>
    <w:p w:rsidR="00A650B0" w:rsidRPr="001E06B3" w:rsidRDefault="00A650B0" w:rsidP="00C252FD">
      <w:pPr>
        <w:spacing w:line="240" w:lineRule="auto"/>
        <w:ind w:firstLine="720"/>
        <w:jc w:val="both"/>
        <w:rPr>
          <w:sz w:val="20"/>
          <w:szCs w:val="20"/>
          <w:lang w:val="uk-UA"/>
        </w:rPr>
      </w:pPr>
    </w:p>
    <w:p w:rsidR="00A650B0" w:rsidRPr="001E06B3" w:rsidRDefault="00BB012D" w:rsidP="00C252FD">
      <w:pPr>
        <w:spacing w:line="240" w:lineRule="auto"/>
        <w:ind w:firstLine="720"/>
        <w:jc w:val="both"/>
        <w:rPr>
          <w:sz w:val="20"/>
          <w:szCs w:val="20"/>
          <w:lang w:val="uk-UA"/>
        </w:rPr>
      </w:pPr>
      <w:r w:rsidRPr="001E06B3">
        <w:rPr>
          <w:i/>
          <w:sz w:val="20"/>
          <w:szCs w:val="20"/>
          <w:lang w:val="uk-UA"/>
        </w:rPr>
        <w:t>Висновки.</w:t>
      </w:r>
      <w:r w:rsidRPr="00242E8A">
        <w:rPr>
          <w:i/>
          <w:sz w:val="20"/>
          <w:szCs w:val="20"/>
          <w:lang w:val="en-US"/>
        </w:rPr>
        <w:t xml:space="preserve"> </w:t>
      </w:r>
      <w:r w:rsidR="00A650B0" w:rsidRPr="001E06B3">
        <w:rPr>
          <w:sz w:val="20"/>
          <w:szCs w:val="20"/>
          <w:lang w:val="uk-UA"/>
        </w:rPr>
        <w:t xml:space="preserve">Підводячи підсумок, можна виділити наступні основні тенденції глобальних ПІІ у 2012 році: </w:t>
      </w:r>
    </w:p>
    <w:p w:rsidR="00A650B0" w:rsidRPr="00C866AF" w:rsidRDefault="00A650B0" w:rsidP="00C866AF">
      <w:pPr>
        <w:pStyle w:val="a"/>
        <w:numPr>
          <w:ilvl w:val="0"/>
          <w:numId w:val="6"/>
        </w:numPr>
        <w:tabs>
          <w:tab w:val="left" w:pos="993"/>
        </w:tabs>
        <w:spacing w:line="240" w:lineRule="auto"/>
        <w:ind w:left="0" w:firstLine="680"/>
        <w:rPr>
          <w:sz w:val="20"/>
          <w:szCs w:val="20"/>
        </w:rPr>
      </w:pPr>
      <w:r w:rsidRPr="00C866AF">
        <w:rPr>
          <w:sz w:val="20"/>
          <w:szCs w:val="20"/>
        </w:rPr>
        <w:t xml:space="preserve">Інтернаціоналізація державних підприємств </w:t>
      </w:r>
      <w:r w:rsidRPr="00C866AF">
        <w:rPr>
          <w:rStyle w:val="longtext"/>
          <w:sz w:val="20"/>
          <w:szCs w:val="20"/>
        </w:rPr>
        <w:t xml:space="preserve">(ДП) </w:t>
      </w:r>
      <w:r w:rsidR="00B45107" w:rsidRPr="00C866AF">
        <w:rPr>
          <w:sz w:val="20"/>
          <w:szCs w:val="20"/>
        </w:rPr>
        <w:t xml:space="preserve"> і суверенних </w:t>
      </w:r>
      <w:r w:rsidRPr="00C866AF">
        <w:rPr>
          <w:sz w:val="20"/>
          <w:szCs w:val="20"/>
        </w:rPr>
        <w:t xml:space="preserve">інвестиційних фондів (СІФ) триває. Число державних ТНК зросло з 650 у 2010 році до 845 у 2012 році. Їх нові ПІІ склали 145 млрд. дол. США, досягнувши майже 11% глобальних ПІІ. </w:t>
      </w:r>
      <w:r w:rsidRPr="00C866AF">
        <w:rPr>
          <w:rStyle w:val="longtext"/>
          <w:sz w:val="20"/>
          <w:szCs w:val="20"/>
        </w:rPr>
        <w:t>Більшість державних підприємств</w:t>
      </w:r>
      <w:r w:rsidRPr="00C866AF">
        <w:rPr>
          <w:sz w:val="20"/>
          <w:szCs w:val="20"/>
        </w:rPr>
        <w:t xml:space="preserve">, </w:t>
      </w:r>
      <w:r w:rsidRPr="00C866AF">
        <w:rPr>
          <w:rStyle w:val="longtext"/>
          <w:sz w:val="20"/>
          <w:szCs w:val="20"/>
        </w:rPr>
        <w:t>які придбали інозе</w:t>
      </w:r>
      <w:r w:rsidR="00C866AF" w:rsidRPr="00C866AF">
        <w:rPr>
          <w:rStyle w:val="longtext"/>
          <w:sz w:val="20"/>
          <w:szCs w:val="20"/>
        </w:rPr>
        <w:t>мні активи в 2012 році припадали</w:t>
      </w:r>
      <w:r w:rsidRPr="00C866AF">
        <w:rPr>
          <w:rStyle w:val="longtext"/>
          <w:sz w:val="20"/>
          <w:szCs w:val="20"/>
        </w:rPr>
        <w:t xml:space="preserve"> на країни, що розвиваються, багато </w:t>
      </w:r>
      <w:r w:rsidR="00C866AF" w:rsidRPr="00C866AF">
        <w:rPr>
          <w:rStyle w:val="longtext"/>
          <w:sz w:val="20"/>
          <w:szCs w:val="20"/>
        </w:rPr>
        <w:t>з як</w:t>
      </w:r>
      <w:r w:rsidRPr="00C866AF">
        <w:rPr>
          <w:rStyle w:val="longtext"/>
          <w:sz w:val="20"/>
          <w:szCs w:val="20"/>
        </w:rPr>
        <w:t>их були мотивовані прагненням до стратегічних активів (наприклад, технологій, інтелектуальної власності, торгових марок) та природних ресурсів</w:t>
      </w:r>
      <w:r w:rsidR="00FB5C5C" w:rsidRPr="00C866AF">
        <w:rPr>
          <w:rStyle w:val="longtext"/>
          <w:sz w:val="20"/>
          <w:szCs w:val="20"/>
        </w:rPr>
        <w:t xml:space="preserve"> </w:t>
      </w:r>
      <w:r w:rsidR="00FB5C5C" w:rsidRPr="00C866AF">
        <w:rPr>
          <w:sz w:val="20"/>
          <w:szCs w:val="20"/>
        </w:rPr>
        <w:t>[2]</w:t>
      </w:r>
      <w:r w:rsidRPr="00C866AF">
        <w:rPr>
          <w:rStyle w:val="longtext"/>
          <w:sz w:val="20"/>
          <w:szCs w:val="20"/>
        </w:rPr>
        <w:t>.</w:t>
      </w:r>
    </w:p>
    <w:p w:rsidR="00A650B0" w:rsidRPr="001E06B3" w:rsidRDefault="00A650B0" w:rsidP="00C252FD">
      <w:pPr>
        <w:spacing w:line="240" w:lineRule="auto"/>
        <w:ind w:firstLine="709"/>
        <w:jc w:val="both"/>
        <w:rPr>
          <w:rStyle w:val="longtext"/>
          <w:sz w:val="20"/>
          <w:szCs w:val="20"/>
          <w:lang w:val="uk-UA"/>
        </w:rPr>
      </w:pPr>
      <w:r w:rsidRPr="001E06B3">
        <w:rPr>
          <w:sz w:val="20"/>
          <w:szCs w:val="20"/>
          <w:lang w:val="uk-UA"/>
        </w:rPr>
        <w:t>ПІІ суверенних інвестиційних фондів в 2012 році склали лише 20 млрд.</w:t>
      </w:r>
      <w:r w:rsidRPr="001E06B3">
        <w:rPr>
          <w:sz w:val="20"/>
          <w:szCs w:val="20"/>
        </w:rPr>
        <w:t xml:space="preserve"> дол. США</w:t>
      </w:r>
      <w:r w:rsidRPr="001E06B3">
        <w:rPr>
          <w:sz w:val="20"/>
          <w:szCs w:val="20"/>
          <w:lang w:val="uk-UA"/>
        </w:rPr>
        <w:t xml:space="preserve">, але подвоїлися </w:t>
      </w:r>
      <w:proofErr w:type="gramStart"/>
      <w:r w:rsidRPr="001E06B3">
        <w:rPr>
          <w:sz w:val="20"/>
          <w:szCs w:val="20"/>
          <w:lang w:val="uk-UA"/>
        </w:rPr>
        <w:t>в</w:t>
      </w:r>
      <w:proofErr w:type="gramEnd"/>
      <w:r w:rsidRPr="001E06B3">
        <w:rPr>
          <w:sz w:val="20"/>
          <w:szCs w:val="20"/>
          <w:lang w:val="uk-UA"/>
        </w:rPr>
        <w:t xml:space="preserve"> порівнянні з попереднім роком. Сукупний обсяг вкладених ПІІ </w:t>
      </w:r>
      <w:r w:rsidR="00C866AF">
        <w:rPr>
          <w:sz w:val="20"/>
          <w:szCs w:val="20"/>
          <w:lang w:val="uk-UA"/>
        </w:rPr>
        <w:t xml:space="preserve">СІФ </w:t>
      </w:r>
      <w:r w:rsidRPr="001E06B3">
        <w:rPr>
          <w:sz w:val="20"/>
          <w:szCs w:val="20"/>
          <w:lang w:val="uk-UA"/>
        </w:rPr>
        <w:t>оцінюється в 127 млрд.</w:t>
      </w:r>
      <w:r w:rsidRPr="001E06B3">
        <w:rPr>
          <w:sz w:val="20"/>
          <w:szCs w:val="20"/>
        </w:rPr>
        <w:t xml:space="preserve"> дол. США</w:t>
      </w:r>
      <w:r w:rsidRPr="001E06B3">
        <w:rPr>
          <w:sz w:val="20"/>
          <w:szCs w:val="20"/>
          <w:lang w:val="uk-UA"/>
        </w:rPr>
        <w:t xml:space="preserve">, </w:t>
      </w:r>
      <w:proofErr w:type="gramStart"/>
      <w:r w:rsidRPr="001E06B3">
        <w:rPr>
          <w:sz w:val="20"/>
          <w:szCs w:val="20"/>
          <w:lang w:val="uk-UA"/>
        </w:rPr>
        <w:t>б</w:t>
      </w:r>
      <w:proofErr w:type="gramEnd"/>
      <w:r w:rsidRPr="001E06B3">
        <w:rPr>
          <w:sz w:val="20"/>
          <w:szCs w:val="20"/>
          <w:lang w:val="uk-UA"/>
        </w:rPr>
        <w:t>ільшу частину яки</w:t>
      </w:r>
      <w:r w:rsidR="00C866AF">
        <w:rPr>
          <w:sz w:val="20"/>
          <w:szCs w:val="20"/>
          <w:lang w:val="uk-UA"/>
        </w:rPr>
        <w:t>х складають вкладення в сектори</w:t>
      </w:r>
      <w:r w:rsidRPr="001E06B3">
        <w:rPr>
          <w:sz w:val="20"/>
          <w:szCs w:val="20"/>
          <w:lang w:val="uk-UA"/>
        </w:rPr>
        <w:t xml:space="preserve"> фінансів, нерухомості, будівництва та комунального господарства. </w:t>
      </w:r>
      <w:r w:rsidRPr="001E06B3">
        <w:rPr>
          <w:rStyle w:val="longtext"/>
          <w:sz w:val="20"/>
          <w:szCs w:val="20"/>
          <w:lang w:val="uk-UA"/>
        </w:rPr>
        <w:t xml:space="preserve">З точки зору географічного розподілу, більше 70 % прямих іноземних інвестицій СІФ у 2012 році була спрямована у </w:t>
      </w:r>
      <w:r w:rsidRPr="001E06B3">
        <w:rPr>
          <w:sz w:val="20"/>
          <w:szCs w:val="20"/>
          <w:lang w:val="uk-UA"/>
        </w:rPr>
        <w:t xml:space="preserve">країни з </w:t>
      </w:r>
      <w:r w:rsidRPr="001E06B3">
        <w:rPr>
          <w:rStyle w:val="longtext"/>
          <w:sz w:val="20"/>
          <w:szCs w:val="20"/>
          <w:lang w:val="uk-UA"/>
        </w:rPr>
        <w:t>розвиненою економікою. Сукупні активи 73 СІФ, визнаних у всьому світі, були оцінені в</w:t>
      </w:r>
      <w:r w:rsidRPr="001E06B3">
        <w:rPr>
          <w:sz w:val="20"/>
          <w:szCs w:val="20"/>
          <w:lang w:val="uk-UA"/>
        </w:rPr>
        <w:t xml:space="preserve"> </w:t>
      </w:r>
      <w:r w:rsidR="00C866AF">
        <w:rPr>
          <w:rStyle w:val="longtext"/>
          <w:sz w:val="20"/>
          <w:szCs w:val="20"/>
          <w:lang w:val="uk-UA"/>
        </w:rPr>
        <w:t xml:space="preserve"> </w:t>
      </w:r>
      <w:r w:rsidRPr="001E06B3">
        <w:rPr>
          <w:rStyle w:val="longtext"/>
          <w:sz w:val="20"/>
          <w:szCs w:val="20"/>
          <w:lang w:val="uk-UA"/>
        </w:rPr>
        <w:t xml:space="preserve">5,3 трлн. </w:t>
      </w:r>
      <w:r w:rsidRPr="001E06B3">
        <w:rPr>
          <w:sz w:val="20"/>
          <w:szCs w:val="20"/>
        </w:rPr>
        <w:t>дол. США</w:t>
      </w:r>
      <w:r w:rsidRPr="001E06B3">
        <w:rPr>
          <w:rStyle w:val="longtext"/>
          <w:sz w:val="20"/>
          <w:szCs w:val="20"/>
          <w:lang w:val="uk-UA"/>
        </w:rPr>
        <w:t xml:space="preserve"> у 2012 році - величезний резервуар для фінансування розвитку.</w:t>
      </w:r>
    </w:p>
    <w:p w:rsidR="00A650B0" w:rsidRPr="00C866AF" w:rsidRDefault="00905388" w:rsidP="00C866AF">
      <w:pPr>
        <w:pStyle w:val="a"/>
        <w:numPr>
          <w:ilvl w:val="0"/>
          <w:numId w:val="6"/>
        </w:numPr>
        <w:tabs>
          <w:tab w:val="left" w:pos="993"/>
        </w:tabs>
        <w:spacing w:line="240" w:lineRule="auto"/>
        <w:ind w:left="0" w:firstLine="680"/>
        <w:rPr>
          <w:sz w:val="20"/>
          <w:szCs w:val="20"/>
        </w:rPr>
      </w:pPr>
      <w:r w:rsidRPr="00C866AF">
        <w:rPr>
          <w:sz w:val="20"/>
          <w:szCs w:val="20"/>
        </w:rPr>
        <w:t xml:space="preserve">Інвестиції через офшорні </w:t>
      </w:r>
      <w:r w:rsidR="00A650B0" w:rsidRPr="00C866AF">
        <w:rPr>
          <w:sz w:val="20"/>
          <w:szCs w:val="20"/>
        </w:rPr>
        <w:t>фінансові центри (ОФЦ) і спеціалізовані фінансові структури (СФС)</w:t>
      </w:r>
      <w:r w:rsidR="00C866AF" w:rsidRPr="00C866AF">
        <w:rPr>
          <w:sz w:val="20"/>
          <w:szCs w:val="20"/>
        </w:rPr>
        <w:t xml:space="preserve"> як і раніше викликають занепокоє</w:t>
      </w:r>
      <w:r w:rsidR="00C866AF">
        <w:rPr>
          <w:sz w:val="20"/>
          <w:szCs w:val="20"/>
        </w:rPr>
        <w:t xml:space="preserve">ність та досягли високого рівня. </w:t>
      </w:r>
      <w:r w:rsidR="00A650B0" w:rsidRPr="00C866AF">
        <w:rPr>
          <w:sz w:val="20"/>
          <w:szCs w:val="20"/>
        </w:rPr>
        <w:t xml:space="preserve">Фінансові потоки в ОФЦ як </w:t>
      </w:r>
      <w:r w:rsidRPr="00C866AF">
        <w:rPr>
          <w:sz w:val="20"/>
          <w:szCs w:val="20"/>
        </w:rPr>
        <w:t xml:space="preserve">близькі до пікових рівнів </w:t>
      </w:r>
      <w:r w:rsidR="00A650B0" w:rsidRPr="00C866AF">
        <w:rPr>
          <w:sz w:val="20"/>
          <w:szCs w:val="20"/>
        </w:rPr>
        <w:t>2007 року.</w:t>
      </w:r>
      <w:r w:rsidRPr="00C866AF">
        <w:rPr>
          <w:sz w:val="20"/>
          <w:szCs w:val="20"/>
        </w:rPr>
        <w:t xml:space="preserve"> Незважаючи на те, що в центрі </w:t>
      </w:r>
      <w:r w:rsidR="00A650B0" w:rsidRPr="00C866AF">
        <w:rPr>
          <w:sz w:val="20"/>
          <w:szCs w:val="20"/>
        </w:rPr>
        <w:t>міжнародних зусиль з боротьби за ухиленням від податків в основному виявилися ОФЦ, фінансові потоки через СФС в 2011 році були майже в сім разів більші Зростає кількість країн, що пропонують СФС сприятливий податковий режим (</w:t>
      </w:r>
      <w:r w:rsidR="002341CF" w:rsidRPr="00C866AF">
        <w:rPr>
          <w:sz w:val="20"/>
          <w:szCs w:val="20"/>
        </w:rPr>
        <w:t>рис. 6</w:t>
      </w:r>
      <w:r w:rsidR="00A650B0" w:rsidRPr="00C866AF">
        <w:rPr>
          <w:sz w:val="20"/>
          <w:szCs w:val="20"/>
        </w:rPr>
        <w:t xml:space="preserve">.): </w:t>
      </w:r>
    </w:p>
    <w:p w:rsidR="00A650B0" w:rsidRPr="001E06B3" w:rsidRDefault="00A650B0" w:rsidP="00C252FD">
      <w:pPr>
        <w:pStyle w:val="a"/>
        <w:numPr>
          <w:ilvl w:val="0"/>
          <w:numId w:val="0"/>
        </w:numPr>
        <w:spacing w:line="240" w:lineRule="auto"/>
        <w:rPr>
          <w:sz w:val="20"/>
          <w:szCs w:val="20"/>
        </w:rPr>
      </w:pPr>
    </w:p>
    <w:p w:rsidR="00A650B0" w:rsidRPr="001E06B3" w:rsidRDefault="00A650B0" w:rsidP="00C252FD">
      <w:pPr>
        <w:pStyle w:val="a"/>
        <w:numPr>
          <w:ilvl w:val="0"/>
          <w:numId w:val="0"/>
        </w:numPr>
        <w:tabs>
          <w:tab w:val="left" w:pos="0"/>
        </w:tabs>
        <w:spacing w:line="240" w:lineRule="auto"/>
        <w:rPr>
          <w:b/>
          <w:sz w:val="20"/>
          <w:szCs w:val="20"/>
        </w:rPr>
      </w:pPr>
      <w:r w:rsidRPr="001E06B3">
        <w:rPr>
          <w:b/>
          <w:noProof/>
          <w:sz w:val="20"/>
          <w:szCs w:val="20"/>
          <w:lang w:eastAsia="uk-UA"/>
        </w:rPr>
        <w:lastRenderedPageBreak/>
        <w:drawing>
          <wp:inline distT="0" distB="0" distL="0" distR="0">
            <wp:extent cx="6130290" cy="2695575"/>
            <wp:effectExtent l="19050" t="0" r="22860" b="0"/>
            <wp:docPr id="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5388" w:rsidRPr="001E06B3" w:rsidRDefault="002341CF" w:rsidP="00EC0A3B">
      <w:pPr>
        <w:spacing w:line="240" w:lineRule="auto"/>
        <w:jc w:val="center"/>
        <w:rPr>
          <w:b/>
          <w:sz w:val="20"/>
          <w:szCs w:val="20"/>
          <w:lang w:val="uk-UA"/>
        </w:rPr>
      </w:pPr>
      <w:r w:rsidRPr="001E06B3">
        <w:rPr>
          <w:b/>
          <w:sz w:val="20"/>
          <w:szCs w:val="20"/>
          <w:lang w:val="uk-UA"/>
        </w:rPr>
        <w:t>Рис. 6</w:t>
      </w:r>
      <w:r w:rsidR="00A650B0" w:rsidRPr="001E06B3">
        <w:rPr>
          <w:b/>
          <w:sz w:val="20"/>
          <w:szCs w:val="20"/>
          <w:lang w:val="uk-UA"/>
        </w:rPr>
        <w:t>. Оцінка припливу інвестицій в СФС (спеціалізовані фінансові структури) і ОФЦ (офшорні фінансові центри) в 2012 році,  (млрд. дол. США).</w:t>
      </w:r>
    </w:p>
    <w:p w:rsidR="00A650B0" w:rsidRPr="001E06B3" w:rsidRDefault="00A650B0" w:rsidP="00C252FD">
      <w:pPr>
        <w:spacing w:line="240" w:lineRule="auto"/>
        <w:jc w:val="both"/>
        <w:rPr>
          <w:sz w:val="20"/>
          <w:szCs w:val="20"/>
          <w:lang w:val="uk-UA"/>
        </w:rPr>
      </w:pPr>
      <w:r w:rsidRPr="001E06B3">
        <w:rPr>
          <w:sz w:val="20"/>
          <w:szCs w:val="20"/>
          <w:lang w:val="uk-UA"/>
        </w:rPr>
        <w:t xml:space="preserve">Примітка. Побудовано автором за даними UNCTAD. </w:t>
      </w:r>
      <w:proofErr w:type="spellStart"/>
      <w:r w:rsidRPr="001E06B3">
        <w:rPr>
          <w:sz w:val="20"/>
          <w:szCs w:val="20"/>
          <w:lang w:val="uk-UA"/>
        </w:rPr>
        <w:t>World</w:t>
      </w:r>
      <w:proofErr w:type="spellEnd"/>
      <w:r w:rsidRPr="001E06B3">
        <w:rPr>
          <w:sz w:val="20"/>
          <w:szCs w:val="20"/>
          <w:lang w:val="uk-UA"/>
        </w:rPr>
        <w:t xml:space="preserve"> </w:t>
      </w:r>
      <w:proofErr w:type="spellStart"/>
      <w:r w:rsidRPr="001E06B3">
        <w:rPr>
          <w:sz w:val="20"/>
          <w:szCs w:val="20"/>
          <w:lang w:val="uk-UA"/>
        </w:rPr>
        <w:t>Investment</w:t>
      </w:r>
      <w:proofErr w:type="spellEnd"/>
      <w:r w:rsidRPr="001E06B3">
        <w:rPr>
          <w:sz w:val="20"/>
          <w:szCs w:val="20"/>
          <w:lang w:val="uk-UA"/>
        </w:rPr>
        <w:t xml:space="preserve"> </w:t>
      </w:r>
      <w:proofErr w:type="spellStart"/>
      <w:r w:rsidRPr="001E06B3">
        <w:rPr>
          <w:sz w:val="20"/>
          <w:szCs w:val="20"/>
          <w:lang w:val="uk-UA"/>
        </w:rPr>
        <w:t>Report</w:t>
      </w:r>
      <w:proofErr w:type="spellEnd"/>
      <w:r w:rsidRPr="001E06B3">
        <w:rPr>
          <w:sz w:val="20"/>
          <w:szCs w:val="20"/>
          <w:lang w:val="uk-UA"/>
        </w:rPr>
        <w:t xml:space="preserve"> 2013. </w:t>
      </w:r>
      <w:r w:rsidRPr="001E06B3">
        <w:rPr>
          <w:rFonts w:eastAsia="Calibri"/>
          <w:bCs/>
          <w:sz w:val="20"/>
          <w:szCs w:val="20"/>
          <w:lang w:val="en-US" w:eastAsia="en-US"/>
        </w:rPr>
        <w:t>Global</w:t>
      </w:r>
      <w:r w:rsidRPr="001E06B3">
        <w:rPr>
          <w:rFonts w:eastAsia="Calibri"/>
          <w:bCs/>
          <w:sz w:val="20"/>
          <w:szCs w:val="20"/>
          <w:lang w:val="uk-UA" w:eastAsia="en-US"/>
        </w:rPr>
        <w:t xml:space="preserve"> </w:t>
      </w:r>
      <w:r w:rsidRPr="001E06B3">
        <w:rPr>
          <w:rFonts w:eastAsia="Calibri"/>
          <w:bCs/>
          <w:sz w:val="20"/>
          <w:szCs w:val="20"/>
          <w:lang w:val="en-US" w:eastAsia="en-US"/>
        </w:rPr>
        <w:t>value</w:t>
      </w:r>
      <w:r w:rsidRPr="001E06B3">
        <w:rPr>
          <w:rFonts w:eastAsia="Calibri"/>
          <w:bCs/>
          <w:sz w:val="20"/>
          <w:szCs w:val="20"/>
          <w:lang w:val="uk-UA" w:eastAsia="en-US"/>
        </w:rPr>
        <w:t xml:space="preserve"> </w:t>
      </w:r>
      <w:r w:rsidRPr="001E06B3">
        <w:rPr>
          <w:rFonts w:eastAsia="Calibri"/>
          <w:bCs/>
          <w:sz w:val="20"/>
          <w:szCs w:val="20"/>
          <w:lang w:val="en-US" w:eastAsia="en-US"/>
        </w:rPr>
        <w:t>chains</w:t>
      </w:r>
      <w:r w:rsidRPr="001E06B3">
        <w:rPr>
          <w:rFonts w:eastAsia="Calibri"/>
          <w:bCs/>
          <w:sz w:val="20"/>
          <w:szCs w:val="20"/>
          <w:lang w:val="uk-UA" w:eastAsia="en-US"/>
        </w:rPr>
        <w:t xml:space="preserve">: </w:t>
      </w:r>
      <w:r w:rsidRPr="001E06B3">
        <w:rPr>
          <w:rFonts w:eastAsia="Calibri"/>
          <w:bCs/>
          <w:sz w:val="20"/>
          <w:szCs w:val="20"/>
          <w:lang w:val="en-US" w:eastAsia="en-US"/>
        </w:rPr>
        <w:t>investment</w:t>
      </w:r>
      <w:r w:rsidRPr="001E06B3">
        <w:rPr>
          <w:rFonts w:eastAsia="Calibri"/>
          <w:bCs/>
          <w:sz w:val="20"/>
          <w:szCs w:val="20"/>
          <w:lang w:val="uk-UA" w:eastAsia="en-US"/>
        </w:rPr>
        <w:t xml:space="preserve"> </w:t>
      </w:r>
      <w:r w:rsidRPr="001E06B3">
        <w:rPr>
          <w:rFonts w:eastAsia="Calibri"/>
          <w:bCs/>
          <w:sz w:val="20"/>
          <w:szCs w:val="20"/>
          <w:lang w:val="en-US" w:eastAsia="en-US"/>
        </w:rPr>
        <w:t>and</w:t>
      </w:r>
      <w:r w:rsidRPr="001E06B3">
        <w:rPr>
          <w:rFonts w:eastAsia="Calibri"/>
          <w:bCs/>
          <w:sz w:val="20"/>
          <w:szCs w:val="20"/>
          <w:lang w:val="uk-UA" w:eastAsia="en-US"/>
        </w:rPr>
        <w:t xml:space="preserve"> </w:t>
      </w:r>
      <w:r w:rsidRPr="001E06B3">
        <w:rPr>
          <w:rFonts w:eastAsia="Calibri"/>
          <w:bCs/>
          <w:sz w:val="20"/>
          <w:szCs w:val="20"/>
          <w:lang w:val="en-US" w:eastAsia="en-US"/>
        </w:rPr>
        <w:t>trade</w:t>
      </w:r>
      <w:r w:rsidRPr="001E06B3">
        <w:rPr>
          <w:rFonts w:eastAsia="Calibri"/>
          <w:bCs/>
          <w:sz w:val="20"/>
          <w:szCs w:val="20"/>
          <w:lang w:val="uk-UA" w:eastAsia="en-US"/>
        </w:rPr>
        <w:t xml:space="preserve"> </w:t>
      </w:r>
      <w:r w:rsidRPr="001E06B3">
        <w:rPr>
          <w:rFonts w:eastAsia="Calibri"/>
          <w:bCs/>
          <w:sz w:val="20"/>
          <w:szCs w:val="20"/>
          <w:lang w:val="en-US" w:eastAsia="en-US"/>
        </w:rPr>
        <w:t>for</w:t>
      </w:r>
      <w:r w:rsidRPr="001E06B3">
        <w:rPr>
          <w:rFonts w:eastAsia="Calibri"/>
          <w:bCs/>
          <w:sz w:val="20"/>
          <w:szCs w:val="20"/>
          <w:lang w:val="uk-UA" w:eastAsia="en-US"/>
        </w:rPr>
        <w:t xml:space="preserve"> </w:t>
      </w:r>
      <w:r w:rsidRPr="001E06B3">
        <w:rPr>
          <w:rFonts w:eastAsia="Calibri"/>
          <w:bCs/>
          <w:sz w:val="20"/>
          <w:szCs w:val="20"/>
          <w:lang w:val="en-US" w:eastAsia="en-US"/>
        </w:rPr>
        <w:t>development</w:t>
      </w:r>
      <w:r w:rsidRPr="001E06B3">
        <w:rPr>
          <w:sz w:val="20"/>
          <w:szCs w:val="20"/>
          <w:lang w:val="uk-UA"/>
        </w:rPr>
        <w:t>. - 2013 – Р. 35.</w:t>
      </w:r>
    </w:p>
    <w:p w:rsidR="00EC0A3B" w:rsidRPr="001E06B3" w:rsidRDefault="00EC0A3B" w:rsidP="00C252FD">
      <w:pPr>
        <w:spacing w:line="240" w:lineRule="auto"/>
        <w:jc w:val="both"/>
        <w:rPr>
          <w:sz w:val="20"/>
          <w:szCs w:val="20"/>
          <w:lang w:val="uk-UA"/>
        </w:rPr>
      </w:pPr>
    </w:p>
    <w:p w:rsidR="00A650B0" w:rsidRPr="001E06B3" w:rsidRDefault="00A650B0" w:rsidP="00C866AF">
      <w:pPr>
        <w:pStyle w:val="a"/>
        <w:numPr>
          <w:ilvl w:val="0"/>
          <w:numId w:val="6"/>
        </w:numPr>
        <w:spacing w:line="240" w:lineRule="auto"/>
        <w:ind w:left="0" w:firstLine="709"/>
        <w:rPr>
          <w:sz w:val="20"/>
          <w:szCs w:val="20"/>
        </w:rPr>
      </w:pPr>
      <w:r w:rsidRPr="001E06B3">
        <w:rPr>
          <w:sz w:val="20"/>
          <w:szCs w:val="20"/>
        </w:rPr>
        <w:t xml:space="preserve">Міжнародне виробництво зростає високими темпами. У 2012 році </w:t>
      </w:r>
      <w:r w:rsidR="00905388" w:rsidRPr="001E06B3">
        <w:rPr>
          <w:sz w:val="20"/>
          <w:szCs w:val="20"/>
        </w:rPr>
        <w:t xml:space="preserve">міжнародне виробництво </w:t>
      </w:r>
      <w:r w:rsidRPr="001E06B3">
        <w:rPr>
          <w:sz w:val="20"/>
          <w:szCs w:val="20"/>
        </w:rPr>
        <w:t>ТНК і раніше росло високими темпами</w:t>
      </w:r>
      <w:r w:rsidR="00905388" w:rsidRPr="001E06B3">
        <w:rPr>
          <w:sz w:val="20"/>
          <w:szCs w:val="20"/>
        </w:rPr>
        <w:t xml:space="preserve"> </w:t>
      </w:r>
      <w:r w:rsidRPr="001E06B3">
        <w:rPr>
          <w:sz w:val="20"/>
          <w:szCs w:val="20"/>
        </w:rPr>
        <w:t>завдяки тому, що приплив ПІІ, хоча і в меншому розмірі, дозволяв нарощувати обсяг вкладених ПІІ. Обсяг вкладених ПІІ зріс в 2012 році на 9%, досягнувши 23 млрд. дол. США. Іноземні філії ТНК реалізували продукцію на суму 26 трлн. дол. США (з яких 7,5 трлн. дол. США пішло на експорт), зростання на 7,4% в п</w:t>
      </w:r>
      <w:r w:rsidR="00EC0A3B" w:rsidRPr="001E06B3">
        <w:rPr>
          <w:sz w:val="20"/>
          <w:szCs w:val="20"/>
        </w:rPr>
        <w:t xml:space="preserve">орівнянні з 2011 роком </w:t>
      </w:r>
      <w:r w:rsidR="00FB5C5C" w:rsidRPr="001E06B3">
        <w:rPr>
          <w:sz w:val="20"/>
          <w:szCs w:val="20"/>
        </w:rPr>
        <w:t xml:space="preserve">[2], </w:t>
      </w:r>
      <w:r w:rsidR="00EC0A3B" w:rsidRPr="001E06B3">
        <w:rPr>
          <w:sz w:val="20"/>
          <w:szCs w:val="20"/>
        </w:rPr>
        <w:t xml:space="preserve">(табл. </w:t>
      </w:r>
      <w:r w:rsidR="002341CF" w:rsidRPr="001E06B3">
        <w:rPr>
          <w:sz w:val="20"/>
          <w:szCs w:val="20"/>
        </w:rPr>
        <w:t>4</w:t>
      </w:r>
      <w:r w:rsidRPr="001E06B3">
        <w:rPr>
          <w:sz w:val="20"/>
          <w:szCs w:val="20"/>
        </w:rPr>
        <w:t>):</w:t>
      </w:r>
    </w:p>
    <w:p w:rsidR="00A650B0" w:rsidRPr="001E06B3" w:rsidRDefault="00905388" w:rsidP="00C866AF">
      <w:pPr>
        <w:pStyle w:val="a"/>
        <w:numPr>
          <w:ilvl w:val="0"/>
          <w:numId w:val="0"/>
        </w:numPr>
        <w:spacing w:line="240" w:lineRule="auto"/>
        <w:jc w:val="right"/>
        <w:rPr>
          <w:b/>
          <w:sz w:val="20"/>
          <w:szCs w:val="20"/>
        </w:rPr>
      </w:pPr>
      <w:r w:rsidRPr="001E06B3">
        <w:rPr>
          <w:b/>
          <w:sz w:val="20"/>
          <w:szCs w:val="20"/>
        </w:rPr>
        <w:t xml:space="preserve">Таблиця </w:t>
      </w:r>
      <w:r w:rsidR="002341CF" w:rsidRPr="001E06B3">
        <w:rPr>
          <w:b/>
          <w:sz w:val="20"/>
          <w:szCs w:val="20"/>
        </w:rPr>
        <w:t>4</w:t>
      </w:r>
      <w:r w:rsidR="00A650B0" w:rsidRPr="001E06B3">
        <w:rPr>
          <w:b/>
          <w:sz w:val="20"/>
          <w:szCs w:val="20"/>
        </w:rPr>
        <w:t xml:space="preserve"> </w:t>
      </w:r>
    </w:p>
    <w:p w:rsidR="00A650B0" w:rsidRPr="001E06B3" w:rsidRDefault="00A650B0" w:rsidP="00C866AF">
      <w:pPr>
        <w:spacing w:line="240" w:lineRule="auto"/>
        <w:jc w:val="center"/>
        <w:rPr>
          <w:b/>
          <w:sz w:val="20"/>
          <w:szCs w:val="20"/>
          <w:lang w:val="uk-UA"/>
        </w:rPr>
      </w:pPr>
      <w:r w:rsidRPr="001E06B3">
        <w:rPr>
          <w:b/>
          <w:sz w:val="20"/>
          <w:szCs w:val="20"/>
          <w:lang w:val="uk-UA"/>
        </w:rPr>
        <w:t>Деякі показники ПІІ та міжнародного виробництва в 1990-2012 роках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992"/>
        <w:gridCol w:w="2126"/>
        <w:gridCol w:w="1134"/>
        <w:gridCol w:w="1134"/>
        <w:gridCol w:w="992"/>
      </w:tblGrid>
      <w:tr w:rsidR="00A650B0" w:rsidRPr="001E06B3" w:rsidTr="00905388">
        <w:tc>
          <w:tcPr>
            <w:tcW w:w="3261" w:type="dxa"/>
            <w:vMerge w:val="restart"/>
          </w:tcPr>
          <w:p w:rsidR="00A650B0" w:rsidRPr="001E06B3" w:rsidRDefault="00A650B0" w:rsidP="00C866AF">
            <w:pPr>
              <w:spacing w:line="240" w:lineRule="auto"/>
              <w:jc w:val="center"/>
              <w:rPr>
                <w:b/>
                <w:sz w:val="20"/>
                <w:szCs w:val="20"/>
                <w:lang w:val="uk-UA"/>
              </w:rPr>
            </w:pPr>
          </w:p>
        </w:tc>
        <w:tc>
          <w:tcPr>
            <w:tcW w:w="6378" w:type="dxa"/>
            <w:gridSpan w:val="5"/>
          </w:tcPr>
          <w:p w:rsidR="00A650B0" w:rsidRPr="001E06B3" w:rsidRDefault="00A650B0" w:rsidP="00C866AF">
            <w:pPr>
              <w:spacing w:line="240" w:lineRule="auto"/>
              <w:jc w:val="center"/>
              <w:rPr>
                <w:b/>
                <w:sz w:val="20"/>
                <w:szCs w:val="20"/>
                <w:lang w:val="uk-UA"/>
              </w:rPr>
            </w:pPr>
            <w:r w:rsidRPr="001E06B3">
              <w:rPr>
                <w:b/>
                <w:sz w:val="20"/>
                <w:szCs w:val="20"/>
                <w:lang w:val="uk-UA"/>
              </w:rPr>
              <w:t xml:space="preserve">Вартісний обсяг у поточних цінах, </w:t>
            </w:r>
          </w:p>
          <w:p w:rsidR="00A650B0" w:rsidRPr="001E06B3" w:rsidRDefault="00A650B0" w:rsidP="00C866AF">
            <w:pPr>
              <w:spacing w:line="240" w:lineRule="auto"/>
              <w:jc w:val="center"/>
              <w:rPr>
                <w:b/>
                <w:sz w:val="20"/>
                <w:szCs w:val="20"/>
                <w:lang w:val="uk-UA"/>
              </w:rPr>
            </w:pPr>
            <w:r w:rsidRPr="001E06B3">
              <w:rPr>
                <w:b/>
                <w:sz w:val="20"/>
                <w:szCs w:val="20"/>
                <w:lang w:val="uk-UA"/>
              </w:rPr>
              <w:t>(млрд.</w:t>
            </w:r>
            <w:r w:rsidRPr="001E06B3">
              <w:rPr>
                <w:b/>
                <w:sz w:val="20"/>
                <w:szCs w:val="20"/>
              </w:rPr>
              <w:t xml:space="preserve"> дол. </w:t>
            </w:r>
            <w:proofErr w:type="gramStart"/>
            <w:r w:rsidRPr="001E06B3">
              <w:rPr>
                <w:b/>
                <w:sz w:val="20"/>
                <w:szCs w:val="20"/>
              </w:rPr>
              <w:t>США</w:t>
            </w:r>
            <w:r w:rsidRPr="001E06B3">
              <w:rPr>
                <w:b/>
                <w:sz w:val="20"/>
                <w:szCs w:val="20"/>
                <w:lang w:val="uk-UA"/>
              </w:rPr>
              <w:t>)</w:t>
            </w:r>
            <w:proofErr w:type="gramEnd"/>
          </w:p>
        </w:tc>
      </w:tr>
      <w:tr w:rsidR="00A650B0" w:rsidRPr="001E06B3" w:rsidTr="00B45107">
        <w:tc>
          <w:tcPr>
            <w:tcW w:w="3261" w:type="dxa"/>
            <w:vMerge/>
          </w:tcPr>
          <w:p w:rsidR="00A650B0" w:rsidRPr="001E06B3" w:rsidRDefault="00A650B0" w:rsidP="00C866AF">
            <w:pPr>
              <w:spacing w:line="240" w:lineRule="auto"/>
              <w:jc w:val="center"/>
              <w:rPr>
                <w:b/>
                <w:sz w:val="20"/>
                <w:szCs w:val="20"/>
                <w:lang w:val="uk-UA"/>
              </w:rPr>
            </w:pPr>
          </w:p>
        </w:tc>
        <w:tc>
          <w:tcPr>
            <w:tcW w:w="992" w:type="dxa"/>
          </w:tcPr>
          <w:p w:rsidR="00A650B0" w:rsidRPr="001E06B3" w:rsidRDefault="00A650B0" w:rsidP="00C866AF">
            <w:pPr>
              <w:spacing w:line="240" w:lineRule="auto"/>
              <w:jc w:val="center"/>
              <w:rPr>
                <w:b/>
                <w:sz w:val="20"/>
                <w:szCs w:val="20"/>
                <w:lang w:val="uk-UA"/>
              </w:rPr>
            </w:pPr>
            <w:r w:rsidRPr="001E06B3">
              <w:rPr>
                <w:b/>
                <w:sz w:val="20"/>
                <w:szCs w:val="20"/>
                <w:lang w:val="uk-UA"/>
              </w:rPr>
              <w:t>1990</w:t>
            </w:r>
          </w:p>
        </w:tc>
        <w:tc>
          <w:tcPr>
            <w:tcW w:w="2126" w:type="dxa"/>
          </w:tcPr>
          <w:p w:rsidR="00A650B0" w:rsidRPr="001E06B3" w:rsidRDefault="00B45107" w:rsidP="00C866AF">
            <w:pPr>
              <w:spacing w:line="240" w:lineRule="auto"/>
              <w:jc w:val="center"/>
              <w:rPr>
                <w:b/>
                <w:sz w:val="20"/>
                <w:szCs w:val="20"/>
                <w:lang w:val="uk-UA"/>
              </w:rPr>
            </w:pPr>
            <w:r w:rsidRPr="001E06B3">
              <w:rPr>
                <w:b/>
                <w:sz w:val="20"/>
                <w:szCs w:val="20"/>
                <w:lang w:val="uk-UA"/>
              </w:rPr>
              <w:t xml:space="preserve">Середня </w:t>
            </w:r>
            <w:r w:rsidR="00A650B0" w:rsidRPr="001E06B3">
              <w:rPr>
                <w:b/>
                <w:sz w:val="20"/>
                <w:szCs w:val="20"/>
                <w:lang w:val="uk-UA"/>
              </w:rPr>
              <w:t>в докризові 2005-2007 роки</w:t>
            </w:r>
          </w:p>
        </w:tc>
        <w:tc>
          <w:tcPr>
            <w:tcW w:w="1134" w:type="dxa"/>
          </w:tcPr>
          <w:p w:rsidR="00A650B0" w:rsidRPr="001E06B3" w:rsidRDefault="00A650B0" w:rsidP="00C866AF">
            <w:pPr>
              <w:spacing w:line="240" w:lineRule="auto"/>
              <w:jc w:val="center"/>
              <w:rPr>
                <w:b/>
                <w:sz w:val="20"/>
                <w:szCs w:val="20"/>
                <w:lang w:val="uk-UA"/>
              </w:rPr>
            </w:pPr>
            <w:r w:rsidRPr="001E06B3">
              <w:rPr>
                <w:b/>
                <w:sz w:val="20"/>
                <w:szCs w:val="20"/>
                <w:lang w:val="uk-UA"/>
              </w:rPr>
              <w:t>2010</w:t>
            </w:r>
          </w:p>
        </w:tc>
        <w:tc>
          <w:tcPr>
            <w:tcW w:w="1134" w:type="dxa"/>
          </w:tcPr>
          <w:p w:rsidR="00A650B0" w:rsidRPr="001E06B3" w:rsidRDefault="00A650B0" w:rsidP="00C866AF">
            <w:pPr>
              <w:spacing w:line="240" w:lineRule="auto"/>
              <w:jc w:val="center"/>
              <w:rPr>
                <w:b/>
                <w:sz w:val="20"/>
                <w:szCs w:val="20"/>
                <w:lang w:val="uk-UA"/>
              </w:rPr>
            </w:pPr>
            <w:r w:rsidRPr="001E06B3">
              <w:rPr>
                <w:b/>
                <w:sz w:val="20"/>
                <w:szCs w:val="20"/>
                <w:lang w:val="uk-UA"/>
              </w:rPr>
              <w:t>2011</w:t>
            </w:r>
          </w:p>
        </w:tc>
        <w:tc>
          <w:tcPr>
            <w:tcW w:w="992" w:type="dxa"/>
          </w:tcPr>
          <w:p w:rsidR="00A650B0" w:rsidRPr="001E06B3" w:rsidRDefault="00A650B0" w:rsidP="00C866AF">
            <w:pPr>
              <w:spacing w:line="240" w:lineRule="auto"/>
              <w:jc w:val="center"/>
              <w:rPr>
                <w:b/>
                <w:sz w:val="20"/>
                <w:szCs w:val="20"/>
                <w:lang w:val="uk-UA"/>
              </w:rPr>
            </w:pPr>
            <w:r w:rsidRPr="001E06B3">
              <w:rPr>
                <w:b/>
                <w:sz w:val="20"/>
                <w:szCs w:val="20"/>
                <w:lang w:val="uk-UA"/>
              </w:rPr>
              <w:t>2012</w:t>
            </w:r>
            <w:r w:rsidRPr="001E06B3">
              <w:rPr>
                <w:b/>
                <w:sz w:val="20"/>
                <w:szCs w:val="20"/>
                <w:lang w:val="uk-UA"/>
              </w:rPr>
              <w:br/>
            </w:r>
          </w:p>
        </w:tc>
      </w:tr>
      <w:tr w:rsidR="00A650B0" w:rsidRPr="001E06B3" w:rsidTr="00B45107">
        <w:tc>
          <w:tcPr>
            <w:tcW w:w="3261" w:type="dxa"/>
          </w:tcPr>
          <w:p w:rsidR="00A650B0" w:rsidRPr="001E06B3" w:rsidRDefault="00A650B0" w:rsidP="00C866AF">
            <w:pPr>
              <w:spacing w:line="240" w:lineRule="auto"/>
              <w:rPr>
                <w:sz w:val="20"/>
                <w:szCs w:val="20"/>
              </w:rPr>
            </w:pPr>
            <w:r w:rsidRPr="001E06B3">
              <w:rPr>
                <w:sz w:val="20"/>
                <w:szCs w:val="20"/>
                <w:lang w:val="uk-UA"/>
              </w:rPr>
              <w:t xml:space="preserve">Приплив ПІІ </w:t>
            </w:r>
          </w:p>
        </w:tc>
        <w:tc>
          <w:tcPr>
            <w:tcW w:w="992" w:type="dxa"/>
          </w:tcPr>
          <w:p w:rsidR="00A650B0" w:rsidRPr="001E06B3" w:rsidRDefault="00A650B0" w:rsidP="00C866AF">
            <w:pPr>
              <w:spacing w:line="240" w:lineRule="auto"/>
              <w:jc w:val="center"/>
              <w:rPr>
                <w:sz w:val="20"/>
                <w:szCs w:val="20"/>
                <w:lang w:val="uk-UA"/>
              </w:rPr>
            </w:pPr>
            <w:r w:rsidRPr="001E06B3">
              <w:rPr>
                <w:sz w:val="20"/>
                <w:szCs w:val="20"/>
                <w:lang w:val="uk-UA"/>
              </w:rPr>
              <w:t>207</w:t>
            </w:r>
          </w:p>
        </w:tc>
        <w:tc>
          <w:tcPr>
            <w:tcW w:w="2126" w:type="dxa"/>
          </w:tcPr>
          <w:p w:rsidR="00A650B0" w:rsidRPr="001E06B3" w:rsidRDefault="00A650B0" w:rsidP="00C866AF">
            <w:pPr>
              <w:spacing w:line="240" w:lineRule="auto"/>
              <w:jc w:val="center"/>
              <w:rPr>
                <w:sz w:val="20"/>
                <w:szCs w:val="20"/>
                <w:lang w:val="uk-UA"/>
              </w:rPr>
            </w:pPr>
            <w:r w:rsidRPr="001E06B3">
              <w:rPr>
                <w:sz w:val="20"/>
                <w:szCs w:val="20"/>
                <w:lang w:val="uk-UA"/>
              </w:rPr>
              <w:t>1 491</w:t>
            </w:r>
          </w:p>
        </w:tc>
        <w:tc>
          <w:tcPr>
            <w:tcW w:w="1134" w:type="dxa"/>
          </w:tcPr>
          <w:p w:rsidR="00A650B0" w:rsidRPr="001E06B3" w:rsidRDefault="00A650B0" w:rsidP="00C866AF">
            <w:pPr>
              <w:spacing w:line="240" w:lineRule="auto"/>
              <w:rPr>
                <w:sz w:val="20"/>
                <w:szCs w:val="20"/>
              </w:rPr>
            </w:pPr>
            <w:r w:rsidRPr="001E06B3">
              <w:rPr>
                <w:sz w:val="20"/>
                <w:szCs w:val="20"/>
                <w:lang w:val="uk-UA"/>
              </w:rPr>
              <w:t xml:space="preserve">1 409  </w:t>
            </w:r>
          </w:p>
        </w:tc>
        <w:tc>
          <w:tcPr>
            <w:tcW w:w="1134" w:type="dxa"/>
          </w:tcPr>
          <w:p w:rsidR="00A650B0" w:rsidRPr="001E06B3" w:rsidRDefault="00A650B0" w:rsidP="00C866AF">
            <w:pPr>
              <w:spacing w:line="240" w:lineRule="auto"/>
              <w:jc w:val="center"/>
              <w:rPr>
                <w:sz w:val="20"/>
                <w:szCs w:val="20"/>
                <w:lang w:val="uk-UA"/>
              </w:rPr>
            </w:pPr>
            <w:r w:rsidRPr="001E06B3">
              <w:rPr>
                <w:sz w:val="20"/>
                <w:szCs w:val="20"/>
                <w:lang w:val="uk-UA"/>
              </w:rPr>
              <w:t>1 652</w:t>
            </w:r>
          </w:p>
        </w:tc>
        <w:tc>
          <w:tcPr>
            <w:tcW w:w="992" w:type="dxa"/>
          </w:tcPr>
          <w:p w:rsidR="00A650B0" w:rsidRPr="001E06B3" w:rsidRDefault="00A650B0" w:rsidP="00C866AF">
            <w:pPr>
              <w:spacing w:line="240" w:lineRule="auto"/>
              <w:jc w:val="center"/>
              <w:rPr>
                <w:sz w:val="20"/>
                <w:szCs w:val="20"/>
                <w:lang w:val="uk-UA"/>
              </w:rPr>
            </w:pPr>
            <w:r w:rsidRPr="001E06B3">
              <w:rPr>
                <w:sz w:val="20"/>
                <w:szCs w:val="20"/>
                <w:lang w:val="uk-UA"/>
              </w:rPr>
              <w:t>1 351</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Відтік ПІІ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241</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1 534</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1 505</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1 678</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1 391</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Всі ввезені ПІІ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2 078</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14 706</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20 380</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20 873</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22 813</w:t>
            </w:r>
          </w:p>
        </w:tc>
      </w:tr>
      <w:tr w:rsidR="00A650B0" w:rsidRPr="001E06B3" w:rsidTr="00B45107">
        <w:trPr>
          <w:trHeight w:val="327"/>
        </w:trPr>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Всі вивезені ПІІ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2 091</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15 895</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21 130</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21 442</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23 593</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Дохід на ввезені ПІІ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75</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1 076</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1 377</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1 500</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1 507</w:t>
            </w:r>
          </w:p>
        </w:tc>
      </w:tr>
      <w:tr w:rsidR="00A650B0" w:rsidRPr="001E06B3" w:rsidTr="00B45107">
        <w:tc>
          <w:tcPr>
            <w:tcW w:w="3261" w:type="dxa"/>
          </w:tcPr>
          <w:p w:rsidR="00A650B0" w:rsidRPr="001E06B3" w:rsidRDefault="00A650B0" w:rsidP="00C866AF">
            <w:pPr>
              <w:spacing w:line="240" w:lineRule="auto"/>
              <w:rPr>
                <w:sz w:val="20"/>
                <w:szCs w:val="20"/>
                <w:lang w:val="uk-UA"/>
              </w:rPr>
            </w:pPr>
            <w:r w:rsidRPr="001E06B3">
              <w:rPr>
                <w:sz w:val="20"/>
                <w:szCs w:val="20"/>
                <w:lang w:val="uk-UA"/>
              </w:rPr>
              <w:t xml:space="preserve">Норма прибутку на ввезені ПІІ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4</w:t>
            </w:r>
          </w:p>
        </w:tc>
        <w:tc>
          <w:tcPr>
            <w:tcW w:w="2126" w:type="dxa"/>
          </w:tcPr>
          <w:p w:rsidR="00A650B0" w:rsidRPr="001E06B3" w:rsidRDefault="00A650B0" w:rsidP="00C866AF">
            <w:pPr>
              <w:spacing w:line="240" w:lineRule="auto"/>
              <w:jc w:val="center"/>
              <w:rPr>
                <w:b/>
                <w:sz w:val="20"/>
                <w:szCs w:val="20"/>
                <w:lang w:val="uk-UA"/>
              </w:rPr>
            </w:pPr>
            <w:r w:rsidRPr="001E06B3">
              <w:rPr>
                <w:b/>
                <w:sz w:val="20"/>
                <w:szCs w:val="20"/>
                <w:lang w:val="uk-UA"/>
              </w:rPr>
              <w:t>7</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6,8</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7,2</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6,6</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Дохід на вивезені ПІІ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122</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1 148</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1 387</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1 548</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1 461</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Норма прибутку на вивезені ПІІ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6</w:t>
            </w:r>
          </w:p>
        </w:tc>
        <w:tc>
          <w:tcPr>
            <w:tcW w:w="2126" w:type="dxa"/>
          </w:tcPr>
          <w:p w:rsidR="00A650B0" w:rsidRPr="001E06B3" w:rsidRDefault="00A650B0" w:rsidP="00C866AF">
            <w:pPr>
              <w:spacing w:line="240" w:lineRule="auto"/>
              <w:jc w:val="center"/>
              <w:rPr>
                <w:b/>
                <w:sz w:val="20"/>
                <w:szCs w:val="20"/>
                <w:lang w:val="uk-UA"/>
              </w:rPr>
            </w:pPr>
            <w:r w:rsidRPr="001E06B3">
              <w:rPr>
                <w:b/>
                <w:sz w:val="20"/>
                <w:szCs w:val="20"/>
                <w:lang w:val="uk-UA"/>
              </w:rPr>
              <w:t>7</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6,6</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7,2</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6,2</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Міжнародні поглинання і злиття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99</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703</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344</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555</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308</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Продаж іноземних філій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5 102</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19 579</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22 574</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24 198</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25 980</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Додана вартість (продукції)</w:t>
            </w:r>
            <w:r w:rsidRPr="001E06B3">
              <w:rPr>
                <w:sz w:val="20"/>
                <w:szCs w:val="20"/>
                <w:lang w:val="uk-UA"/>
              </w:rPr>
              <w:br/>
              <w:t xml:space="preserve">іноземних філій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1018</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4 124</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5 735</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6 260</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6 607</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Сукупні активи іноземних філій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4 599</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43 836</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78 631</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83 043</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86 574</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Експорт іноземних філій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1 498</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5 003</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6 320</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7 436</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7 479</w:t>
            </w:r>
          </w:p>
        </w:tc>
      </w:tr>
      <w:tr w:rsidR="00A650B0" w:rsidRPr="001E06B3" w:rsidTr="00B45107">
        <w:tc>
          <w:tcPr>
            <w:tcW w:w="3261" w:type="dxa"/>
          </w:tcPr>
          <w:p w:rsidR="00A650B0" w:rsidRPr="001E06B3" w:rsidRDefault="00A650B0" w:rsidP="00C866AF">
            <w:pPr>
              <w:spacing w:line="240" w:lineRule="auto"/>
              <w:rPr>
                <w:b/>
                <w:sz w:val="20"/>
                <w:szCs w:val="20"/>
                <w:lang w:val="uk-UA"/>
              </w:rPr>
            </w:pPr>
            <w:r w:rsidRPr="001E06B3">
              <w:rPr>
                <w:sz w:val="20"/>
                <w:szCs w:val="20"/>
                <w:lang w:val="uk-UA"/>
              </w:rPr>
              <w:t xml:space="preserve">Зайнятість на іноземних філіях (тис. чол.) </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21 458</w:t>
            </w:r>
          </w:p>
        </w:tc>
        <w:tc>
          <w:tcPr>
            <w:tcW w:w="2126" w:type="dxa"/>
          </w:tcPr>
          <w:p w:rsidR="00A650B0" w:rsidRPr="001E06B3" w:rsidRDefault="00A650B0" w:rsidP="00C866AF">
            <w:pPr>
              <w:spacing w:line="240" w:lineRule="auto"/>
              <w:jc w:val="center"/>
              <w:rPr>
                <w:b/>
                <w:sz w:val="20"/>
                <w:szCs w:val="20"/>
                <w:lang w:val="uk-UA"/>
              </w:rPr>
            </w:pPr>
            <w:r w:rsidRPr="001E06B3">
              <w:rPr>
                <w:sz w:val="20"/>
                <w:szCs w:val="20"/>
                <w:lang w:val="uk-UA"/>
              </w:rPr>
              <w:t>51 795</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63 043</w:t>
            </w:r>
          </w:p>
        </w:tc>
        <w:tc>
          <w:tcPr>
            <w:tcW w:w="1134" w:type="dxa"/>
          </w:tcPr>
          <w:p w:rsidR="00A650B0" w:rsidRPr="001E06B3" w:rsidRDefault="00A650B0" w:rsidP="00C866AF">
            <w:pPr>
              <w:spacing w:line="240" w:lineRule="auto"/>
              <w:jc w:val="center"/>
              <w:rPr>
                <w:b/>
                <w:sz w:val="20"/>
                <w:szCs w:val="20"/>
                <w:lang w:val="uk-UA"/>
              </w:rPr>
            </w:pPr>
            <w:r w:rsidRPr="001E06B3">
              <w:rPr>
                <w:sz w:val="20"/>
                <w:szCs w:val="20"/>
                <w:lang w:val="uk-UA"/>
              </w:rPr>
              <w:t>67 852</w:t>
            </w:r>
          </w:p>
        </w:tc>
        <w:tc>
          <w:tcPr>
            <w:tcW w:w="992" w:type="dxa"/>
          </w:tcPr>
          <w:p w:rsidR="00A650B0" w:rsidRPr="001E06B3" w:rsidRDefault="00A650B0" w:rsidP="00C866AF">
            <w:pPr>
              <w:spacing w:line="240" w:lineRule="auto"/>
              <w:jc w:val="center"/>
              <w:rPr>
                <w:b/>
                <w:sz w:val="20"/>
                <w:szCs w:val="20"/>
                <w:lang w:val="uk-UA"/>
              </w:rPr>
            </w:pPr>
            <w:r w:rsidRPr="001E06B3">
              <w:rPr>
                <w:sz w:val="20"/>
                <w:szCs w:val="20"/>
                <w:lang w:val="uk-UA"/>
              </w:rPr>
              <w:t>71 695</w:t>
            </w:r>
          </w:p>
        </w:tc>
      </w:tr>
    </w:tbl>
    <w:p w:rsidR="00905388" w:rsidRDefault="00A650B0" w:rsidP="00C866AF">
      <w:pPr>
        <w:spacing w:line="240" w:lineRule="auto"/>
        <w:jc w:val="both"/>
        <w:rPr>
          <w:sz w:val="20"/>
          <w:szCs w:val="20"/>
          <w:lang w:val="uk-UA"/>
        </w:rPr>
      </w:pPr>
      <w:r w:rsidRPr="001E06B3">
        <w:rPr>
          <w:sz w:val="20"/>
          <w:szCs w:val="20"/>
          <w:lang w:val="uk-UA"/>
        </w:rPr>
        <w:t xml:space="preserve">Примітка. Складено автором за даними UNCTAD. </w:t>
      </w:r>
      <w:proofErr w:type="spellStart"/>
      <w:r w:rsidRPr="001E06B3">
        <w:rPr>
          <w:sz w:val="20"/>
          <w:szCs w:val="20"/>
          <w:lang w:val="uk-UA"/>
        </w:rPr>
        <w:t>World</w:t>
      </w:r>
      <w:proofErr w:type="spellEnd"/>
      <w:r w:rsidRPr="001E06B3">
        <w:rPr>
          <w:sz w:val="20"/>
          <w:szCs w:val="20"/>
          <w:lang w:val="uk-UA"/>
        </w:rPr>
        <w:t xml:space="preserve"> </w:t>
      </w:r>
      <w:proofErr w:type="spellStart"/>
      <w:r w:rsidRPr="001E06B3">
        <w:rPr>
          <w:sz w:val="20"/>
          <w:szCs w:val="20"/>
          <w:lang w:val="uk-UA"/>
        </w:rPr>
        <w:t>Investment</w:t>
      </w:r>
      <w:proofErr w:type="spellEnd"/>
      <w:r w:rsidRPr="001E06B3">
        <w:rPr>
          <w:sz w:val="20"/>
          <w:szCs w:val="20"/>
          <w:lang w:val="uk-UA"/>
        </w:rPr>
        <w:t xml:space="preserve"> </w:t>
      </w:r>
      <w:proofErr w:type="spellStart"/>
      <w:r w:rsidRPr="001E06B3">
        <w:rPr>
          <w:sz w:val="20"/>
          <w:szCs w:val="20"/>
          <w:lang w:val="uk-UA"/>
        </w:rPr>
        <w:t>Report</w:t>
      </w:r>
      <w:proofErr w:type="spellEnd"/>
      <w:r w:rsidRPr="001E06B3">
        <w:rPr>
          <w:sz w:val="20"/>
          <w:szCs w:val="20"/>
          <w:lang w:val="uk-UA"/>
        </w:rPr>
        <w:t xml:space="preserve"> 2013. </w:t>
      </w:r>
      <w:r w:rsidRPr="001E06B3">
        <w:rPr>
          <w:rFonts w:eastAsia="Calibri"/>
          <w:bCs/>
          <w:sz w:val="20"/>
          <w:szCs w:val="20"/>
          <w:lang w:val="en-US" w:eastAsia="en-US"/>
        </w:rPr>
        <w:t>Global</w:t>
      </w:r>
      <w:r w:rsidRPr="001E06B3">
        <w:rPr>
          <w:rFonts w:eastAsia="Calibri"/>
          <w:bCs/>
          <w:sz w:val="20"/>
          <w:szCs w:val="20"/>
          <w:lang w:val="uk-UA" w:eastAsia="en-US"/>
        </w:rPr>
        <w:t xml:space="preserve"> </w:t>
      </w:r>
      <w:r w:rsidRPr="001E06B3">
        <w:rPr>
          <w:rFonts w:eastAsia="Calibri"/>
          <w:bCs/>
          <w:sz w:val="20"/>
          <w:szCs w:val="20"/>
          <w:lang w:val="en-US" w:eastAsia="en-US"/>
        </w:rPr>
        <w:t>value</w:t>
      </w:r>
      <w:r w:rsidRPr="001E06B3">
        <w:rPr>
          <w:rFonts w:eastAsia="Calibri"/>
          <w:bCs/>
          <w:sz w:val="20"/>
          <w:szCs w:val="20"/>
          <w:lang w:val="uk-UA" w:eastAsia="en-US"/>
        </w:rPr>
        <w:t xml:space="preserve"> </w:t>
      </w:r>
      <w:r w:rsidRPr="001E06B3">
        <w:rPr>
          <w:rFonts w:eastAsia="Calibri"/>
          <w:bCs/>
          <w:sz w:val="20"/>
          <w:szCs w:val="20"/>
          <w:lang w:val="en-US" w:eastAsia="en-US"/>
        </w:rPr>
        <w:t>chains</w:t>
      </w:r>
      <w:r w:rsidRPr="001E06B3">
        <w:rPr>
          <w:rFonts w:eastAsia="Calibri"/>
          <w:bCs/>
          <w:sz w:val="20"/>
          <w:szCs w:val="20"/>
          <w:lang w:val="uk-UA" w:eastAsia="en-US"/>
        </w:rPr>
        <w:t xml:space="preserve">: </w:t>
      </w:r>
      <w:r w:rsidRPr="001E06B3">
        <w:rPr>
          <w:rFonts w:eastAsia="Calibri"/>
          <w:bCs/>
          <w:sz w:val="20"/>
          <w:szCs w:val="20"/>
          <w:lang w:val="en-US" w:eastAsia="en-US"/>
        </w:rPr>
        <w:t>investment</w:t>
      </w:r>
      <w:r w:rsidRPr="001E06B3">
        <w:rPr>
          <w:rFonts w:eastAsia="Calibri"/>
          <w:bCs/>
          <w:sz w:val="20"/>
          <w:szCs w:val="20"/>
          <w:lang w:val="uk-UA" w:eastAsia="en-US"/>
        </w:rPr>
        <w:t xml:space="preserve"> </w:t>
      </w:r>
      <w:r w:rsidRPr="001E06B3">
        <w:rPr>
          <w:rFonts w:eastAsia="Calibri"/>
          <w:bCs/>
          <w:sz w:val="20"/>
          <w:szCs w:val="20"/>
          <w:lang w:val="en-US" w:eastAsia="en-US"/>
        </w:rPr>
        <w:t>and</w:t>
      </w:r>
      <w:r w:rsidRPr="001E06B3">
        <w:rPr>
          <w:rFonts w:eastAsia="Calibri"/>
          <w:bCs/>
          <w:sz w:val="20"/>
          <w:szCs w:val="20"/>
          <w:lang w:val="uk-UA" w:eastAsia="en-US"/>
        </w:rPr>
        <w:t xml:space="preserve"> </w:t>
      </w:r>
      <w:r w:rsidRPr="001E06B3">
        <w:rPr>
          <w:rFonts w:eastAsia="Calibri"/>
          <w:bCs/>
          <w:sz w:val="20"/>
          <w:szCs w:val="20"/>
          <w:lang w:val="en-US" w:eastAsia="en-US"/>
        </w:rPr>
        <w:t>trade</w:t>
      </w:r>
      <w:r w:rsidRPr="001E06B3">
        <w:rPr>
          <w:rFonts w:eastAsia="Calibri"/>
          <w:bCs/>
          <w:sz w:val="20"/>
          <w:szCs w:val="20"/>
          <w:lang w:val="uk-UA" w:eastAsia="en-US"/>
        </w:rPr>
        <w:t xml:space="preserve"> </w:t>
      </w:r>
      <w:r w:rsidRPr="001E06B3">
        <w:rPr>
          <w:rFonts w:eastAsia="Calibri"/>
          <w:bCs/>
          <w:sz w:val="20"/>
          <w:szCs w:val="20"/>
          <w:lang w:val="en-US" w:eastAsia="en-US"/>
        </w:rPr>
        <w:t>for</w:t>
      </w:r>
      <w:r w:rsidRPr="001E06B3">
        <w:rPr>
          <w:rFonts w:eastAsia="Calibri"/>
          <w:bCs/>
          <w:sz w:val="20"/>
          <w:szCs w:val="20"/>
          <w:lang w:val="uk-UA" w:eastAsia="en-US"/>
        </w:rPr>
        <w:t xml:space="preserve"> </w:t>
      </w:r>
      <w:r w:rsidRPr="001E06B3">
        <w:rPr>
          <w:rFonts w:eastAsia="Calibri"/>
          <w:bCs/>
          <w:sz w:val="20"/>
          <w:szCs w:val="20"/>
          <w:lang w:val="en-US" w:eastAsia="en-US"/>
        </w:rPr>
        <w:t>development</w:t>
      </w:r>
      <w:r w:rsidRPr="001E06B3">
        <w:rPr>
          <w:sz w:val="20"/>
          <w:szCs w:val="20"/>
          <w:lang w:val="uk-UA"/>
        </w:rPr>
        <w:t>. - 2013 – Р. 16.</w:t>
      </w:r>
    </w:p>
    <w:p w:rsidR="00C866AF" w:rsidRPr="001E06B3" w:rsidRDefault="00C866AF" w:rsidP="00C866AF">
      <w:pPr>
        <w:spacing w:line="240" w:lineRule="auto"/>
        <w:jc w:val="both"/>
        <w:rPr>
          <w:sz w:val="20"/>
          <w:szCs w:val="20"/>
          <w:lang w:val="uk-UA"/>
        </w:rPr>
      </w:pPr>
    </w:p>
    <w:p w:rsidR="00A650B0" w:rsidRPr="001E06B3" w:rsidRDefault="00A650B0" w:rsidP="00C866AF">
      <w:pPr>
        <w:spacing w:line="240" w:lineRule="auto"/>
        <w:ind w:firstLine="709"/>
        <w:jc w:val="both"/>
        <w:rPr>
          <w:sz w:val="20"/>
          <w:szCs w:val="20"/>
          <w:lang w:val="uk-UA"/>
        </w:rPr>
      </w:pPr>
      <w:r w:rsidRPr="001E06B3">
        <w:rPr>
          <w:sz w:val="20"/>
          <w:szCs w:val="20"/>
          <w:lang w:val="uk-UA"/>
        </w:rPr>
        <w:t>Вклад фі</w:t>
      </w:r>
      <w:r w:rsidR="00B45107" w:rsidRPr="001E06B3">
        <w:rPr>
          <w:sz w:val="20"/>
          <w:szCs w:val="20"/>
          <w:lang w:val="uk-UA"/>
        </w:rPr>
        <w:t>лій у створення вартості склав у</w:t>
      </w:r>
      <w:r w:rsidRPr="001E06B3">
        <w:rPr>
          <w:sz w:val="20"/>
          <w:szCs w:val="20"/>
          <w:lang w:val="uk-UA"/>
        </w:rPr>
        <w:t xml:space="preserve"> 2012 році 6,6 трлн. </w:t>
      </w:r>
      <w:r w:rsidRPr="001E06B3">
        <w:rPr>
          <w:sz w:val="20"/>
          <w:szCs w:val="20"/>
        </w:rPr>
        <w:t>дол</w:t>
      </w:r>
      <w:r w:rsidRPr="00C866AF">
        <w:rPr>
          <w:sz w:val="20"/>
          <w:szCs w:val="20"/>
        </w:rPr>
        <w:t>.</w:t>
      </w:r>
      <w:r w:rsidRPr="001E06B3">
        <w:rPr>
          <w:sz w:val="20"/>
          <w:szCs w:val="20"/>
          <w:lang w:val="uk-UA"/>
        </w:rPr>
        <w:t xml:space="preserve"> </w:t>
      </w:r>
      <w:r w:rsidRPr="001E06B3">
        <w:rPr>
          <w:sz w:val="20"/>
          <w:szCs w:val="20"/>
        </w:rPr>
        <w:t>США</w:t>
      </w:r>
      <w:r w:rsidRPr="001E06B3">
        <w:rPr>
          <w:sz w:val="20"/>
          <w:szCs w:val="20"/>
          <w:lang w:val="uk-UA"/>
        </w:rPr>
        <w:t xml:space="preserve">, збільшившись на 5,5%, значно виділяючись на тлі глобального приросту ВВП, </w:t>
      </w:r>
      <w:proofErr w:type="gramStart"/>
      <w:r w:rsidRPr="001E06B3">
        <w:rPr>
          <w:sz w:val="20"/>
          <w:szCs w:val="20"/>
          <w:lang w:val="uk-UA"/>
        </w:rPr>
        <w:t>р</w:t>
      </w:r>
      <w:proofErr w:type="gramEnd"/>
      <w:r w:rsidRPr="001E06B3">
        <w:rPr>
          <w:sz w:val="20"/>
          <w:szCs w:val="20"/>
          <w:lang w:val="uk-UA"/>
        </w:rPr>
        <w:t>івного 2,3%. У 2012 році на іноземних філіях ТНК були зайняті 72 млн. чоловік, на 5,7% більше, ніж у 2011 році.</w:t>
      </w:r>
    </w:p>
    <w:p w:rsidR="00A650B0" w:rsidRPr="00AD2880" w:rsidRDefault="00A650B0" w:rsidP="00C866AF">
      <w:pPr>
        <w:pStyle w:val="a"/>
        <w:numPr>
          <w:ilvl w:val="0"/>
          <w:numId w:val="6"/>
        </w:numPr>
        <w:spacing w:line="240" w:lineRule="auto"/>
        <w:ind w:left="0" w:firstLine="720"/>
        <w:rPr>
          <w:sz w:val="20"/>
          <w:szCs w:val="20"/>
        </w:rPr>
      </w:pPr>
      <w:r w:rsidRPr="001E06B3">
        <w:rPr>
          <w:sz w:val="20"/>
          <w:szCs w:val="20"/>
        </w:rPr>
        <w:t>Реінвестовані прибутки м</w:t>
      </w:r>
      <w:r w:rsidR="00905388" w:rsidRPr="001E06B3">
        <w:rPr>
          <w:sz w:val="20"/>
          <w:szCs w:val="20"/>
        </w:rPr>
        <w:t xml:space="preserve">ожуть служити важливим джерелом </w:t>
      </w:r>
      <w:r w:rsidRPr="001E06B3">
        <w:rPr>
          <w:sz w:val="20"/>
          <w:szCs w:val="20"/>
        </w:rPr>
        <w:t>фінансування довгострокових інвестиці</w:t>
      </w:r>
      <w:r w:rsidR="00905388" w:rsidRPr="001E06B3">
        <w:rPr>
          <w:sz w:val="20"/>
          <w:szCs w:val="20"/>
        </w:rPr>
        <w:t xml:space="preserve">й. Дохід зі всіх вкладених ПІІ, </w:t>
      </w:r>
      <w:r w:rsidRPr="001E06B3">
        <w:rPr>
          <w:sz w:val="20"/>
          <w:szCs w:val="20"/>
        </w:rPr>
        <w:t>що склали в 2011 році 21 трлн. дол. США, досяг в тому ж році</w:t>
      </w:r>
      <w:r w:rsidRPr="001E06B3">
        <w:rPr>
          <w:sz w:val="20"/>
          <w:szCs w:val="20"/>
        </w:rPr>
        <w:br/>
        <w:t>1,5 трлн. дол. США. Норма прибутку на ПІІ в у</w:t>
      </w:r>
      <w:r w:rsidR="00905388" w:rsidRPr="001E06B3">
        <w:rPr>
          <w:sz w:val="20"/>
          <w:szCs w:val="20"/>
        </w:rPr>
        <w:t xml:space="preserve">сьому світі - 7%, причому як в </w:t>
      </w:r>
      <w:r w:rsidR="00AD2880" w:rsidRPr="001E06B3">
        <w:rPr>
          <w:sz w:val="20"/>
          <w:szCs w:val="20"/>
        </w:rPr>
        <w:t>країнах</w:t>
      </w:r>
      <w:r w:rsidR="00AD2880">
        <w:rPr>
          <w:sz w:val="20"/>
          <w:szCs w:val="20"/>
        </w:rPr>
        <w:t xml:space="preserve">, </w:t>
      </w:r>
      <w:r w:rsidRPr="001E06B3">
        <w:rPr>
          <w:sz w:val="20"/>
          <w:szCs w:val="20"/>
        </w:rPr>
        <w:t>що розвиваються (8%), так і в країнах з п</w:t>
      </w:r>
      <w:r w:rsidR="00905388" w:rsidRPr="001E06B3">
        <w:rPr>
          <w:sz w:val="20"/>
          <w:szCs w:val="20"/>
        </w:rPr>
        <w:t xml:space="preserve">ерехідною економікою (13%) вона </w:t>
      </w:r>
      <w:r w:rsidRPr="001E06B3">
        <w:rPr>
          <w:sz w:val="20"/>
          <w:szCs w:val="20"/>
        </w:rPr>
        <w:t xml:space="preserve">вище, ніж у розвинених країнах (5%). Приблизно третина глобальної прибутку на ПІІ залишається у приймаючих країнах, а дві третини - вивозиться (сума вивезення </w:t>
      </w:r>
      <w:r w:rsidRPr="001E06B3">
        <w:rPr>
          <w:sz w:val="20"/>
          <w:szCs w:val="20"/>
        </w:rPr>
        <w:lastRenderedPageBreak/>
        <w:t>становить у середньому 3,4% виплат за поточними операціями)</w:t>
      </w:r>
      <w:r w:rsidR="00FB5C5C" w:rsidRPr="001E06B3">
        <w:rPr>
          <w:sz w:val="20"/>
          <w:szCs w:val="20"/>
        </w:rPr>
        <w:t xml:space="preserve"> [3]</w:t>
      </w:r>
      <w:r w:rsidRPr="001E06B3">
        <w:rPr>
          <w:sz w:val="20"/>
          <w:szCs w:val="20"/>
        </w:rPr>
        <w:t xml:space="preserve">. </w:t>
      </w:r>
      <w:r w:rsidRPr="00AD2880">
        <w:rPr>
          <w:sz w:val="20"/>
          <w:szCs w:val="20"/>
        </w:rPr>
        <w:t>Частка реінвестованого прибутку вище всього в країнах, що розвиваються: складаючи приблизно 40% прибутку на ПІІ, вона являє собою важливе джерело фінансування. Разом з тим не всі ці інвестиції вкладаються в основний капітал і завдання урядів приймаючих країн - направити нерозподілений прибуток на виробничі капіталовкладення.</w:t>
      </w:r>
    </w:p>
    <w:p w:rsidR="00A650B0" w:rsidRPr="000B2F3C" w:rsidRDefault="00A650B0" w:rsidP="000B2F3C">
      <w:pPr>
        <w:spacing w:line="240" w:lineRule="auto"/>
        <w:ind w:firstLine="709"/>
        <w:jc w:val="both"/>
        <w:rPr>
          <w:sz w:val="20"/>
          <w:szCs w:val="20"/>
          <w:lang w:val="uk-UA"/>
        </w:rPr>
      </w:pPr>
      <w:r w:rsidRPr="000B2F3C">
        <w:rPr>
          <w:sz w:val="20"/>
          <w:szCs w:val="20"/>
          <w:lang w:val="uk-UA"/>
        </w:rPr>
        <w:t xml:space="preserve">Таким чином, у 2012 році глобальний приплив прямих іноземних інвестицій (ПІІ) скоротилися на 18 % до  1,35 трлн.  </w:t>
      </w:r>
      <w:r w:rsidRPr="000B2F3C">
        <w:rPr>
          <w:sz w:val="20"/>
          <w:szCs w:val="20"/>
        </w:rPr>
        <w:t>дол. США</w:t>
      </w:r>
      <w:r w:rsidRPr="000B2F3C">
        <w:rPr>
          <w:sz w:val="20"/>
          <w:szCs w:val="20"/>
          <w:lang w:val="uk-UA"/>
        </w:rPr>
        <w:t xml:space="preserve">. Таке різке зниження </w:t>
      </w:r>
      <w:r w:rsidRPr="000B2F3C">
        <w:rPr>
          <w:sz w:val="20"/>
          <w:szCs w:val="20"/>
        </w:rPr>
        <w:t>ПІІ</w:t>
      </w:r>
      <w:r w:rsidRPr="000B2F3C">
        <w:rPr>
          <w:sz w:val="20"/>
          <w:szCs w:val="20"/>
          <w:lang w:val="uk-UA"/>
        </w:rPr>
        <w:t xml:space="preserve"> було пов’язане з </w:t>
      </w:r>
      <w:r w:rsidR="00AD2880" w:rsidRPr="000B2F3C">
        <w:rPr>
          <w:sz w:val="20"/>
          <w:szCs w:val="20"/>
          <w:lang w:val="uk-UA"/>
        </w:rPr>
        <w:t xml:space="preserve">такими </w:t>
      </w:r>
      <w:r w:rsidRPr="000B2F3C">
        <w:rPr>
          <w:sz w:val="20"/>
          <w:szCs w:val="20"/>
          <w:lang w:val="uk-UA"/>
        </w:rPr>
        <w:t xml:space="preserve">ключовими економічними показниками, як ВВП, міжнародна торгівля та зайнятість. Економічна слабкість і політична невизначеність в ряді великих економік породила обережності серед інвесторів. </w:t>
      </w:r>
    </w:p>
    <w:p w:rsidR="00A650B0" w:rsidRPr="000B2F3C" w:rsidRDefault="00A650B0" w:rsidP="000B2F3C">
      <w:pPr>
        <w:spacing w:line="240" w:lineRule="auto"/>
        <w:ind w:firstLine="709"/>
        <w:jc w:val="both"/>
        <w:rPr>
          <w:sz w:val="20"/>
          <w:szCs w:val="20"/>
          <w:lang w:val="uk-UA"/>
        </w:rPr>
      </w:pPr>
      <w:r w:rsidRPr="000B2F3C">
        <w:rPr>
          <w:sz w:val="20"/>
          <w:szCs w:val="20"/>
          <w:lang w:val="uk-UA"/>
        </w:rPr>
        <w:t>Згідно середньостроковими прогнозами ЮНКТАД, зробленим на підставі фундаментальних макроекономічних показників, потоки ПІІ будуть як і раніше рости помірними, але,</w:t>
      </w:r>
      <w:r w:rsidR="00AD2880" w:rsidRPr="000B2F3C">
        <w:rPr>
          <w:sz w:val="20"/>
          <w:szCs w:val="20"/>
          <w:lang w:val="uk-UA"/>
        </w:rPr>
        <w:t xml:space="preserve"> разом з тим, стійкими темпами. У</w:t>
      </w:r>
      <w:r w:rsidRPr="000B2F3C">
        <w:rPr>
          <w:sz w:val="20"/>
          <w:szCs w:val="20"/>
          <w:lang w:val="uk-UA"/>
        </w:rPr>
        <w:t xml:space="preserve"> 2013 році ПІІ залишаться близькими до рівня 2012 року, </w:t>
      </w:r>
      <w:r w:rsidR="00AD2880" w:rsidRPr="000B2F3C">
        <w:rPr>
          <w:sz w:val="20"/>
          <w:szCs w:val="20"/>
          <w:lang w:val="uk-UA"/>
        </w:rPr>
        <w:t>коли верхня межа інтервалу склала 1,45 трлн. дол. США і досягне</w:t>
      </w:r>
      <w:r w:rsidRPr="000B2F3C">
        <w:rPr>
          <w:sz w:val="20"/>
          <w:szCs w:val="20"/>
          <w:lang w:val="uk-UA"/>
        </w:rPr>
        <w:t xml:space="preserve"> 1,6 трлн. дол. </w:t>
      </w:r>
      <w:r w:rsidRPr="000B2F3C">
        <w:rPr>
          <w:sz w:val="20"/>
          <w:szCs w:val="20"/>
        </w:rPr>
        <w:t xml:space="preserve">США </w:t>
      </w:r>
      <w:r w:rsidRPr="000B2F3C">
        <w:rPr>
          <w:sz w:val="20"/>
          <w:szCs w:val="20"/>
          <w:lang w:val="uk-UA"/>
        </w:rPr>
        <w:t>та</w:t>
      </w:r>
      <w:r w:rsidRPr="000B2F3C">
        <w:rPr>
          <w:sz w:val="20"/>
          <w:szCs w:val="20"/>
        </w:rPr>
        <w:t xml:space="preserve"> 1,</w:t>
      </w:r>
      <w:r w:rsidRPr="000B2F3C">
        <w:rPr>
          <w:sz w:val="20"/>
          <w:szCs w:val="20"/>
          <w:lang w:val="uk-UA"/>
        </w:rPr>
        <w:t>8</w:t>
      </w:r>
      <w:r w:rsidRPr="000B2F3C">
        <w:rPr>
          <w:sz w:val="20"/>
          <w:szCs w:val="20"/>
        </w:rPr>
        <w:t xml:space="preserve"> трлн. дол. США в 201</w:t>
      </w:r>
      <w:r w:rsidRPr="000B2F3C">
        <w:rPr>
          <w:sz w:val="20"/>
          <w:szCs w:val="20"/>
          <w:lang w:val="uk-UA"/>
        </w:rPr>
        <w:t>4</w:t>
      </w:r>
      <w:r w:rsidRPr="000B2F3C">
        <w:rPr>
          <w:sz w:val="20"/>
          <w:szCs w:val="20"/>
        </w:rPr>
        <w:t xml:space="preserve"> і 201</w:t>
      </w:r>
      <w:r w:rsidRPr="000B2F3C">
        <w:rPr>
          <w:sz w:val="20"/>
          <w:szCs w:val="20"/>
          <w:lang w:val="uk-UA"/>
        </w:rPr>
        <w:t>5</w:t>
      </w:r>
      <w:r w:rsidRPr="000B2F3C">
        <w:rPr>
          <w:sz w:val="20"/>
          <w:szCs w:val="20"/>
        </w:rPr>
        <w:t xml:space="preserve"> роках, </w:t>
      </w:r>
      <w:proofErr w:type="spellStart"/>
      <w:r w:rsidRPr="000B2F3C">
        <w:rPr>
          <w:sz w:val="20"/>
          <w:szCs w:val="20"/>
        </w:rPr>
        <w:t>відповідно</w:t>
      </w:r>
      <w:proofErr w:type="spellEnd"/>
      <w:r w:rsidRPr="000B2F3C">
        <w:rPr>
          <w:sz w:val="20"/>
          <w:szCs w:val="20"/>
        </w:rPr>
        <w:t xml:space="preserve">, за </w:t>
      </w:r>
      <w:proofErr w:type="spellStart"/>
      <w:r w:rsidRPr="000B2F3C">
        <w:rPr>
          <w:sz w:val="20"/>
          <w:szCs w:val="20"/>
        </w:rPr>
        <w:t>умови</w:t>
      </w:r>
      <w:proofErr w:type="spellEnd"/>
      <w:r w:rsidRPr="000B2F3C">
        <w:rPr>
          <w:sz w:val="20"/>
          <w:szCs w:val="20"/>
        </w:rPr>
        <w:t xml:space="preserve"> </w:t>
      </w:r>
      <w:proofErr w:type="spellStart"/>
      <w:r w:rsidRPr="000B2F3C">
        <w:rPr>
          <w:sz w:val="20"/>
          <w:szCs w:val="20"/>
        </w:rPr>
        <w:t>відсутності</w:t>
      </w:r>
      <w:proofErr w:type="spellEnd"/>
      <w:r w:rsidRPr="000B2F3C">
        <w:rPr>
          <w:sz w:val="20"/>
          <w:szCs w:val="20"/>
        </w:rPr>
        <w:t xml:space="preserve"> </w:t>
      </w:r>
      <w:proofErr w:type="spellStart"/>
      <w:r w:rsidRPr="000B2F3C">
        <w:rPr>
          <w:sz w:val="20"/>
          <w:szCs w:val="20"/>
        </w:rPr>
        <w:t>макроекономічних</w:t>
      </w:r>
      <w:proofErr w:type="spellEnd"/>
      <w:r w:rsidRPr="000B2F3C">
        <w:rPr>
          <w:sz w:val="20"/>
          <w:szCs w:val="20"/>
        </w:rPr>
        <w:t xml:space="preserve"> </w:t>
      </w:r>
      <w:proofErr w:type="spellStart"/>
      <w:r w:rsidRPr="000B2F3C">
        <w:rPr>
          <w:sz w:val="20"/>
          <w:szCs w:val="20"/>
        </w:rPr>
        <w:t>потрясінь</w:t>
      </w:r>
      <w:proofErr w:type="spellEnd"/>
      <w:r w:rsidRPr="000B2F3C">
        <w:rPr>
          <w:sz w:val="20"/>
          <w:szCs w:val="20"/>
        </w:rPr>
        <w:t xml:space="preserve">. </w:t>
      </w:r>
      <w:proofErr w:type="spellStart"/>
      <w:r w:rsidRPr="000B2F3C">
        <w:rPr>
          <w:sz w:val="20"/>
          <w:szCs w:val="20"/>
        </w:rPr>
        <w:t>Невпевненість</w:t>
      </w:r>
      <w:proofErr w:type="spellEnd"/>
      <w:r w:rsidRPr="000B2F3C">
        <w:rPr>
          <w:sz w:val="20"/>
          <w:szCs w:val="20"/>
        </w:rPr>
        <w:t xml:space="preserve"> </w:t>
      </w:r>
      <w:proofErr w:type="spellStart"/>
      <w:r w:rsidRPr="000B2F3C">
        <w:rPr>
          <w:sz w:val="20"/>
          <w:szCs w:val="20"/>
        </w:rPr>
        <w:t>інвесторів</w:t>
      </w:r>
      <w:proofErr w:type="spellEnd"/>
      <w:r w:rsidRPr="000B2F3C">
        <w:rPr>
          <w:sz w:val="20"/>
          <w:szCs w:val="20"/>
        </w:rPr>
        <w:t xml:space="preserve"> </w:t>
      </w:r>
      <w:proofErr w:type="gramStart"/>
      <w:r w:rsidRPr="000B2F3C">
        <w:rPr>
          <w:sz w:val="20"/>
          <w:szCs w:val="20"/>
        </w:rPr>
        <w:t>в</w:t>
      </w:r>
      <w:proofErr w:type="gramEnd"/>
      <w:r w:rsidRPr="000B2F3C">
        <w:rPr>
          <w:sz w:val="20"/>
          <w:szCs w:val="20"/>
        </w:rPr>
        <w:t xml:space="preserve"> </w:t>
      </w:r>
      <w:proofErr w:type="spellStart"/>
      <w:r w:rsidRPr="000B2F3C">
        <w:rPr>
          <w:sz w:val="20"/>
          <w:szCs w:val="20"/>
        </w:rPr>
        <w:t>розвитку</w:t>
      </w:r>
      <w:proofErr w:type="spellEnd"/>
      <w:r w:rsidRPr="000B2F3C">
        <w:rPr>
          <w:sz w:val="20"/>
          <w:szCs w:val="20"/>
        </w:rPr>
        <w:t xml:space="preserve"> </w:t>
      </w:r>
      <w:proofErr w:type="spellStart"/>
      <w:r w:rsidRPr="000B2F3C">
        <w:rPr>
          <w:sz w:val="20"/>
          <w:szCs w:val="20"/>
        </w:rPr>
        <w:t>економічної</w:t>
      </w:r>
      <w:proofErr w:type="spellEnd"/>
      <w:r w:rsidRPr="000B2F3C">
        <w:rPr>
          <w:sz w:val="20"/>
          <w:szCs w:val="20"/>
        </w:rPr>
        <w:t xml:space="preserve"> </w:t>
      </w:r>
      <w:proofErr w:type="spellStart"/>
      <w:r w:rsidRPr="000B2F3C">
        <w:rPr>
          <w:sz w:val="20"/>
          <w:szCs w:val="20"/>
        </w:rPr>
        <w:t>ситуації</w:t>
      </w:r>
      <w:proofErr w:type="spellEnd"/>
      <w:r w:rsidRPr="000B2F3C">
        <w:rPr>
          <w:sz w:val="20"/>
          <w:szCs w:val="20"/>
        </w:rPr>
        <w:t xml:space="preserve"> </w:t>
      </w:r>
      <w:proofErr w:type="spellStart"/>
      <w:r w:rsidRPr="000B2F3C">
        <w:rPr>
          <w:sz w:val="20"/>
          <w:szCs w:val="20"/>
        </w:rPr>
        <w:t>протягом</w:t>
      </w:r>
      <w:proofErr w:type="spellEnd"/>
      <w:r w:rsidRPr="000B2F3C">
        <w:rPr>
          <w:sz w:val="20"/>
          <w:szCs w:val="20"/>
        </w:rPr>
        <w:t xml:space="preserve"> </w:t>
      </w:r>
      <w:proofErr w:type="spellStart"/>
      <w:r w:rsidRPr="000B2F3C">
        <w:rPr>
          <w:sz w:val="20"/>
          <w:szCs w:val="20"/>
        </w:rPr>
        <w:t>цього</w:t>
      </w:r>
      <w:proofErr w:type="spellEnd"/>
      <w:r w:rsidRPr="000B2F3C">
        <w:rPr>
          <w:sz w:val="20"/>
          <w:szCs w:val="20"/>
        </w:rPr>
        <w:t xml:space="preserve"> </w:t>
      </w:r>
      <w:proofErr w:type="spellStart"/>
      <w:r w:rsidRPr="000B2F3C">
        <w:rPr>
          <w:sz w:val="20"/>
          <w:szCs w:val="20"/>
        </w:rPr>
        <w:t>періоду</w:t>
      </w:r>
      <w:proofErr w:type="spellEnd"/>
      <w:r w:rsidRPr="000B2F3C">
        <w:rPr>
          <w:sz w:val="20"/>
          <w:szCs w:val="20"/>
        </w:rPr>
        <w:t xml:space="preserve"> як і </w:t>
      </w:r>
      <w:proofErr w:type="spellStart"/>
      <w:r w:rsidRPr="000B2F3C">
        <w:rPr>
          <w:sz w:val="20"/>
          <w:szCs w:val="20"/>
        </w:rPr>
        <w:t>раніше</w:t>
      </w:r>
      <w:proofErr w:type="spellEnd"/>
      <w:r w:rsidRPr="000B2F3C">
        <w:rPr>
          <w:sz w:val="20"/>
          <w:szCs w:val="20"/>
        </w:rPr>
        <w:t xml:space="preserve"> </w:t>
      </w:r>
      <w:r w:rsidR="00AD2880" w:rsidRPr="000B2F3C">
        <w:rPr>
          <w:sz w:val="20"/>
          <w:szCs w:val="20"/>
          <w:lang w:val="uk-UA"/>
        </w:rPr>
        <w:t xml:space="preserve">буде </w:t>
      </w:r>
      <w:proofErr w:type="spellStart"/>
      <w:r w:rsidRPr="000B2F3C">
        <w:rPr>
          <w:sz w:val="20"/>
          <w:szCs w:val="20"/>
        </w:rPr>
        <w:t>висока</w:t>
      </w:r>
      <w:proofErr w:type="spellEnd"/>
      <w:r w:rsidRPr="000B2F3C">
        <w:rPr>
          <w:sz w:val="20"/>
          <w:szCs w:val="20"/>
        </w:rPr>
        <w:t xml:space="preserve">. </w:t>
      </w:r>
    </w:p>
    <w:p w:rsidR="000B2F3C" w:rsidRPr="000B2F3C" w:rsidRDefault="000B2F3C" w:rsidP="000B2F3C">
      <w:pPr>
        <w:spacing w:line="240" w:lineRule="auto"/>
        <w:ind w:firstLine="709"/>
        <w:jc w:val="both"/>
        <w:rPr>
          <w:sz w:val="20"/>
          <w:szCs w:val="20"/>
          <w:lang w:val="uk-UA"/>
        </w:rPr>
      </w:pPr>
      <w:r>
        <w:rPr>
          <w:sz w:val="20"/>
          <w:szCs w:val="20"/>
          <w:lang w:val="uk-UA"/>
        </w:rPr>
        <w:t>Отже</w:t>
      </w:r>
      <w:r w:rsidRPr="000B2F3C">
        <w:rPr>
          <w:sz w:val="20"/>
          <w:szCs w:val="20"/>
          <w:lang w:val="uk-UA"/>
        </w:rPr>
        <w:t>, можна констатувати, що на початку ХХІ сторіччя у світі, завдяки глобалізації виробничої та інвестиційної діяльності й значного підсилення ролі ТНК, сформулювалась дійсно нова міжнародна економічна система. Нові реалії обумовлюють переосмислення багатьох аспектів розвитку міжнародного господарства, спонукають дослідників по-новому подивитися на наслідки інвестиційної діяльності транснаціональних корпорацій та на причини нерівномірного розподілу доходу у світовій економіці.</w:t>
      </w:r>
    </w:p>
    <w:p w:rsidR="000B2F3C" w:rsidRPr="000B2F3C" w:rsidRDefault="000B2F3C" w:rsidP="00C252FD">
      <w:pPr>
        <w:spacing w:line="240" w:lineRule="auto"/>
        <w:ind w:firstLine="709"/>
        <w:jc w:val="both"/>
        <w:rPr>
          <w:sz w:val="20"/>
          <w:szCs w:val="20"/>
          <w:lang w:val="uk-UA"/>
        </w:rPr>
      </w:pPr>
    </w:p>
    <w:p w:rsidR="00BB012D" w:rsidRPr="000B2F3C" w:rsidRDefault="00BB012D" w:rsidP="00BB012D">
      <w:pPr>
        <w:ind w:firstLine="357"/>
        <w:jc w:val="center"/>
        <w:rPr>
          <w:b/>
          <w:i/>
          <w:sz w:val="20"/>
          <w:szCs w:val="20"/>
          <w:lang w:val="uk-UA"/>
        </w:rPr>
      </w:pPr>
    </w:p>
    <w:p w:rsidR="00BB012D" w:rsidRPr="001E06B3" w:rsidRDefault="00BB012D" w:rsidP="00E15FBF">
      <w:pPr>
        <w:spacing w:line="240" w:lineRule="auto"/>
        <w:ind w:firstLine="357"/>
        <w:jc w:val="center"/>
        <w:rPr>
          <w:b/>
          <w:i/>
          <w:sz w:val="20"/>
          <w:szCs w:val="20"/>
          <w:lang w:val="uk-UA"/>
        </w:rPr>
      </w:pPr>
      <w:r w:rsidRPr="001E06B3">
        <w:rPr>
          <w:b/>
          <w:i/>
          <w:sz w:val="20"/>
          <w:szCs w:val="20"/>
          <w:lang w:val="uk-UA"/>
        </w:rPr>
        <w:t>Список використаних джерел</w:t>
      </w:r>
    </w:p>
    <w:p w:rsidR="006F09E9" w:rsidRPr="001E06B3" w:rsidRDefault="006F09E9" w:rsidP="006F09E9">
      <w:pPr>
        <w:pStyle w:val="Style4"/>
        <w:numPr>
          <w:ilvl w:val="0"/>
          <w:numId w:val="3"/>
        </w:numPr>
        <w:spacing w:line="240" w:lineRule="auto"/>
        <w:ind w:left="0" w:firstLine="737"/>
        <w:rPr>
          <w:rFonts w:ascii="Times New Roman" w:hAnsi="Times New Roman"/>
          <w:sz w:val="20"/>
          <w:szCs w:val="20"/>
          <w:lang w:val="en-US"/>
        </w:rPr>
      </w:pPr>
      <w:r w:rsidRPr="001E06B3">
        <w:rPr>
          <w:rFonts w:ascii="Times New Roman" w:hAnsi="Times New Roman"/>
          <w:sz w:val="20"/>
          <w:szCs w:val="20"/>
          <w:lang w:val="en-US"/>
        </w:rPr>
        <w:t xml:space="preserve">The Impact of FDI on Growth in Developing Countries: An African Experience / </w:t>
      </w:r>
      <w:proofErr w:type="spellStart"/>
      <w:r w:rsidRPr="001E06B3">
        <w:rPr>
          <w:rFonts w:ascii="Times New Roman" w:hAnsi="Times New Roman"/>
          <w:sz w:val="20"/>
          <w:szCs w:val="20"/>
          <w:lang w:val="en-US"/>
        </w:rPr>
        <w:t>Sarumi</w:t>
      </w:r>
      <w:proofErr w:type="spellEnd"/>
      <w:r w:rsidRPr="001E06B3">
        <w:rPr>
          <w:rFonts w:ascii="Times New Roman" w:hAnsi="Times New Roman"/>
          <w:sz w:val="20"/>
          <w:szCs w:val="20"/>
          <w:lang w:val="en-US"/>
        </w:rPr>
        <w:t xml:space="preserve"> </w:t>
      </w:r>
      <w:proofErr w:type="spellStart"/>
      <w:r w:rsidRPr="001E06B3">
        <w:rPr>
          <w:rFonts w:ascii="Times New Roman" w:hAnsi="Times New Roman"/>
          <w:sz w:val="20"/>
          <w:szCs w:val="20"/>
          <w:lang w:val="en-US"/>
        </w:rPr>
        <w:t>Adewumi</w:t>
      </w:r>
      <w:proofErr w:type="spellEnd"/>
      <w:r w:rsidRPr="001E06B3">
        <w:rPr>
          <w:rFonts w:ascii="Times New Roman" w:hAnsi="Times New Roman"/>
          <w:sz w:val="20"/>
          <w:szCs w:val="20"/>
          <w:lang w:val="en-US"/>
        </w:rPr>
        <w:t xml:space="preserve">. – </w:t>
      </w:r>
      <w:proofErr w:type="spellStart"/>
      <w:r w:rsidRPr="001E06B3">
        <w:rPr>
          <w:rFonts w:ascii="Times New Roman" w:hAnsi="Times New Roman"/>
          <w:sz w:val="20"/>
          <w:szCs w:val="20"/>
          <w:lang w:val="en-US"/>
        </w:rPr>
        <w:t>Jönköpig</w:t>
      </w:r>
      <w:proofErr w:type="spellEnd"/>
      <w:r w:rsidRPr="001E06B3">
        <w:rPr>
          <w:rFonts w:ascii="Times New Roman" w:hAnsi="Times New Roman"/>
          <w:sz w:val="20"/>
          <w:szCs w:val="20"/>
          <w:lang w:val="en-US"/>
        </w:rPr>
        <w:t>, September 20</w:t>
      </w:r>
      <w:r w:rsidRPr="001E06B3">
        <w:rPr>
          <w:rFonts w:ascii="Times New Roman" w:hAnsi="Times New Roman"/>
          <w:sz w:val="20"/>
          <w:szCs w:val="20"/>
          <w:lang w:val="uk-UA"/>
        </w:rPr>
        <w:t>12</w:t>
      </w:r>
      <w:r w:rsidRPr="001E06B3">
        <w:rPr>
          <w:rFonts w:ascii="Times New Roman" w:hAnsi="Times New Roman"/>
          <w:sz w:val="20"/>
          <w:szCs w:val="20"/>
          <w:lang w:val="en-US"/>
        </w:rPr>
        <w:t xml:space="preserve">. – 18 p. </w:t>
      </w:r>
    </w:p>
    <w:p w:rsidR="00E15FBF" w:rsidRPr="001E06B3" w:rsidRDefault="00E15FBF" w:rsidP="00E15FBF">
      <w:pPr>
        <w:pStyle w:val="Style4"/>
        <w:numPr>
          <w:ilvl w:val="0"/>
          <w:numId w:val="3"/>
        </w:numPr>
        <w:spacing w:line="240" w:lineRule="auto"/>
        <w:ind w:left="0" w:firstLine="737"/>
        <w:rPr>
          <w:rFonts w:ascii="Times New Roman" w:hAnsi="Times New Roman"/>
          <w:sz w:val="20"/>
          <w:szCs w:val="20"/>
          <w:lang w:val="uk-UA"/>
        </w:rPr>
      </w:pPr>
      <w:r w:rsidRPr="001E06B3">
        <w:rPr>
          <w:rFonts w:ascii="Times New Roman" w:hAnsi="Times New Roman"/>
          <w:sz w:val="20"/>
          <w:szCs w:val="20"/>
          <w:lang w:val="en-US"/>
        </w:rPr>
        <w:t>UNCTAD. World investment prospects to 201</w:t>
      </w:r>
      <w:r w:rsidRPr="001E06B3">
        <w:rPr>
          <w:rFonts w:ascii="Times New Roman" w:hAnsi="Times New Roman"/>
          <w:sz w:val="20"/>
          <w:szCs w:val="20"/>
          <w:lang w:val="uk-UA"/>
        </w:rPr>
        <w:t>2</w:t>
      </w:r>
      <w:r w:rsidRPr="001E06B3">
        <w:rPr>
          <w:rFonts w:ascii="Times New Roman" w:hAnsi="Times New Roman"/>
          <w:sz w:val="20"/>
          <w:szCs w:val="20"/>
          <w:lang w:val="en-US"/>
        </w:rPr>
        <w:t>: foreign direct investment and the challenge of political risk / The Economist Intelligent Unit. – United Kingdom, London, 20</w:t>
      </w:r>
      <w:r w:rsidRPr="001E06B3">
        <w:rPr>
          <w:rFonts w:ascii="Times New Roman" w:hAnsi="Times New Roman"/>
          <w:sz w:val="20"/>
          <w:szCs w:val="20"/>
          <w:lang w:val="uk-UA"/>
        </w:rPr>
        <w:t>13</w:t>
      </w:r>
      <w:r w:rsidRPr="001E06B3">
        <w:rPr>
          <w:rFonts w:ascii="Times New Roman" w:hAnsi="Times New Roman"/>
          <w:sz w:val="20"/>
          <w:szCs w:val="20"/>
          <w:lang w:val="en-US"/>
        </w:rPr>
        <w:t>. – 248 p.</w:t>
      </w:r>
    </w:p>
    <w:p w:rsidR="00E15FBF" w:rsidRPr="001E06B3" w:rsidRDefault="00E15FBF" w:rsidP="00E15FBF">
      <w:pPr>
        <w:pStyle w:val="Style4"/>
        <w:numPr>
          <w:ilvl w:val="0"/>
          <w:numId w:val="3"/>
        </w:numPr>
        <w:spacing w:line="240" w:lineRule="auto"/>
        <w:ind w:left="0" w:firstLine="737"/>
        <w:rPr>
          <w:rFonts w:ascii="Times New Roman" w:hAnsi="Times New Roman"/>
          <w:sz w:val="20"/>
          <w:szCs w:val="20"/>
          <w:lang w:val="uk-UA"/>
        </w:rPr>
      </w:pPr>
      <w:r w:rsidRPr="001E06B3">
        <w:rPr>
          <w:rFonts w:ascii="Times New Roman" w:hAnsi="Times New Roman"/>
          <w:sz w:val="20"/>
          <w:szCs w:val="20"/>
          <w:lang w:val="en-US"/>
        </w:rPr>
        <w:t>UNCTAD. World investment prospects to 201</w:t>
      </w:r>
      <w:r w:rsidRPr="001E06B3">
        <w:rPr>
          <w:rFonts w:ascii="Times New Roman" w:hAnsi="Times New Roman"/>
          <w:sz w:val="20"/>
          <w:szCs w:val="20"/>
          <w:lang w:val="uk-UA"/>
        </w:rPr>
        <w:t>1</w:t>
      </w:r>
      <w:r w:rsidRPr="001E06B3">
        <w:rPr>
          <w:rFonts w:ascii="Times New Roman" w:hAnsi="Times New Roman"/>
          <w:sz w:val="20"/>
          <w:szCs w:val="20"/>
          <w:lang w:val="en-US"/>
        </w:rPr>
        <w:t>: foreign direct investment and the challenge of political risk / The Economist Intelligent Unit. – United Kingdom, London, 20</w:t>
      </w:r>
      <w:r w:rsidRPr="001E06B3">
        <w:rPr>
          <w:rFonts w:ascii="Times New Roman" w:hAnsi="Times New Roman"/>
          <w:sz w:val="20"/>
          <w:szCs w:val="20"/>
          <w:lang w:val="uk-UA"/>
        </w:rPr>
        <w:t>12</w:t>
      </w:r>
      <w:r w:rsidRPr="001E06B3">
        <w:rPr>
          <w:rFonts w:ascii="Times New Roman" w:hAnsi="Times New Roman"/>
          <w:sz w:val="20"/>
          <w:szCs w:val="20"/>
          <w:lang w:val="en-US"/>
        </w:rPr>
        <w:t>. – 248 p.</w:t>
      </w:r>
    </w:p>
    <w:p w:rsidR="00E15FBF" w:rsidRPr="001E06B3" w:rsidRDefault="00E15FBF" w:rsidP="00E15FBF">
      <w:pPr>
        <w:pStyle w:val="Style4"/>
        <w:numPr>
          <w:ilvl w:val="0"/>
          <w:numId w:val="3"/>
        </w:numPr>
        <w:spacing w:line="240" w:lineRule="auto"/>
        <w:ind w:left="0" w:firstLine="737"/>
        <w:rPr>
          <w:rFonts w:ascii="Times New Roman" w:hAnsi="Times New Roman"/>
          <w:sz w:val="20"/>
          <w:szCs w:val="20"/>
          <w:lang w:val="uk-UA"/>
        </w:rPr>
      </w:pPr>
      <w:r w:rsidRPr="001E06B3">
        <w:rPr>
          <w:rFonts w:ascii="Times New Roman" w:hAnsi="Times New Roman"/>
          <w:sz w:val="20"/>
          <w:szCs w:val="20"/>
          <w:lang w:val="en-US"/>
        </w:rPr>
        <w:t>W</w:t>
      </w:r>
      <w:proofErr w:type="spellStart"/>
      <w:r w:rsidRPr="001E06B3">
        <w:rPr>
          <w:rFonts w:ascii="Times New Roman" w:hAnsi="Times New Roman"/>
          <w:sz w:val="20"/>
          <w:szCs w:val="20"/>
          <w:lang w:val="uk-UA"/>
        </w:rPr>
        <w:t>orld</w:t>
      </w:r>
      <w:proofErr w:type="spellEnd"/>
      <w:r w:rsidRPr="001E06B3">
        <w:rPr>
          <w:rFonts w:ascii="Times New Roman" w:hAnsi="Times New Roman"/>
          <w:sz w:val="20"/>
          <w:szCs w:val="20"/>
          <w:lang w:val="uk-UA"/>
        </w:rPr>
        <w:t xml:space="preserve"> </w:t>
      </w:r>
      <w:r w:rsidRPr="001E06B3">
        <w:rPr>
          <w:rFonts w:ascii="Times New Roman" w:hAnsi="Times New Roman"/>
          <w:sz w:val="20"/>
          <w:szCs w:val="20"/>
          <w:lang w:val="en-US"/>
        </w:rPr>
        <w:t>D</w:t>
      </w:r>
      <w:proofErr w:type="spellStart"/>
      <w:r w:rsidRPr="001E06B3">
        <w:rPr>
          <w:rFonts w:ascii="Times New Roman" w:hAnsi="Times New Roman"/>
          <w:sz w:val="20"/>
          <w:szCs w:val="20"/>
          <w:lang w:val="uk-UA"/>
        </w:rPr>
        <w:t>evelopment</w:t>
      </w:r>
      <w:proofErr w:type="spellEnd"/>
      <w:r w:rsidRPr="001E06B3">
        <w:rPr>
          <w:rFonts w:ascii="Times New Roman" w:hAnsi="Times New Roman"/>
          <w:sz w:val="20"/>
          <w:szCs w:val="20"/>
          <w:lang w:val="uk-UA"/>
        </w:rPr>
        <w:t xml:space="preserve"> </w:t>
      </w:r>
      <w:r w:rsidRPr="001E06B3">
        <w:rPr>
          <w:rFonts w:ascii="Times New Roman" w:hAnsi="Times New Roman"/>
          <w:sz w:val="20"/>
          <w:szCs w:val="20"/>
          <w:lang w:val="en-US"/>
        </w:rPr>
        <w:t>R</w:t>
      </w:r>
      <w:proofErr w:type="spellStart"/>
      <w:r w:rsidRPr="001E06B3">
        <w:rPr>
          <w:rFonts w:ascii="Times New Roman" w:hAnsi="Times New Roman"/>
          <w:sz w:val="20"/>
          <w:szCs w:val="20"/>
          <w:lang w:val="uk-UA"/>
        </w:rPr>
        <w:t>eport</w:t>
      </w:r>
      <w:proofErr w:type="spellEnd"/>
      <w:r w:rsidRPr="001E06B3">
        <w:rPr>
          <w:rFonts w:ascii="Times New Roman" w:hAnsi="Times New Roman"/>
          <w:sz w:val="20"/>
          <w:szCs w:val="20"/>
          <w:lang w:val="en-US"/>
        </w:rPr>
        <w:t xml:space="preserve"> 2</w:t>
      </w:r>
      <w:r w:rsidRPr="001E06B3">
        <w:rPr>
          <w:rFonts w:ascii="Times New Roman" w:hAnsi="Times New Roman"/>
          <w:sz w:val="20"/>
          <w:szCs w:val="20"/>
          <w:lang w:val="uk-UA"/>
        </w:rPr>
        <w:t>012</w:t>
      </w:r>
      <w:r w:rsidRPr="001E06B3">
        <w:rPr>
          <w:rFonts w:ascii="Times New Roman" w:hAnsi="Times New Roman"/>
          <w:sz w:val="20"/>
          <w:szCs w:val="20"/>
          <w:lang w:val="en-US"/>
        </w:rPr>
        <w:t xml:space="preserve">: </w:t>
      </w:r>
      <w:r w:rsidRPr="001E06B3">
        <w:rPr>
          <w:rFonts w:ascii="Times New Roman" w:hAnsi="Times New Roman"/>
          <w:sz w:val="20"/>
          <w:szCs w:val="20"/>
          <w:lang w:val="uk-UA"/>
        </w:rPr>
        <w:t xml:space="preserve">A </w:t>
      </w:r>
      <w:proofErr w:type="spellStart"/>
      <w:r w:rsidRPr="001E06B3">
        <w:rPr>
          <w:rFonts w:ascii="Times New Roman" w:hAnsi="Times New Roman"/>
          <w:sz w:val="20"/>
          <w:szCs w:val="20"/>
          <w:lang w:val="uk-UA"/>
        </w:rPr>
        <w:t>Better</w:t>
      </w:r>
      <w:proofErr w:type="spellEnd"/>
      <w:r w:rsidRPr="001E06B3">
        <w:rPr>
          <w:rFonts w:ascii="Times New Roman" w:hAnsi="Times New Roman"/>
          <w:sz w:val="20"/>
          <w:szCs w:val="20"/>
          <w:lang w:val="uk-UA"/>
        </w:rPr>
        <w:t xml:space="preserve"> </w:t>
      </w:r>
      <w:proofErr w:type="spellStart"/>
      <w:r w:rsidRPr="001E06B3">
        <w:rPr>
          <w:rFonts w:ascii="Times New Roman" w:hAnsi="Times New Roman"/>
          <w:sz w:val="20"/>
          <w:szCs w:val="20"/>
          <w:lang w:val="uk-UA"/>
        </w:rPr>
        <w:t>Investment</w:t>
      </w:r>
      <w:proofErr w:type="spellEnd"/>
      <w:r w:rsidRPr="001E06B3">
        <w:rPr>
          <w:rFonts w:ascii="Times New Roman" w:hAnsi="Times New Roman"/>
          <w:sz w:val="20"/>
          <w:szCs w:val="20"/>
          <w:lang w:val="uk-UA"/>
        </w:rPr>
        <w:t xml:space="preserve"> </w:t>
      </w:r>
      <w:proofErr w:type="spellStart"/>
      <w:r w:rsidRPr="001E06B3">
        <w:rPr>
          <w:rFonts w:ascii="Times New Roman" w:hAnsi="Times New Roman"/>
          <w:sz w:val="20"/>
          <w:szCs w:val="20"/>
          <w:lang w:val="uk-UA"/>
        </w:rPr>
        <w:t>Climate</w:t>
      </w:r>
      <w:proofErr w:type="spellEnd"/>
      <w:r w:rsidRPr="001E06B3">
        <w:rPr>
          <w:rFonts w:ascii="Times New Roman" w:hAnsi="Times New Roman"/>
          <w:sz w:val="20"/>
          <w:szCs w:val="20"/>
          <w:lang w:val="en-US"/>
        </w:rPr>
        <w:t xml:space="preserve"> </w:t>
      </w:r>
      <w:proofErr w:type="spellStart"/>
      <w:r w:rsidRPr="001E06B3">
        <w:rPr>
          <w:rFonts w:ascii="Times New Roman" w:hAnsi="Times New Roman"/>
          <w:sz w:val="20"/>
          <w:szCs w:val="20"/>
          <w:lang w:val="uk-UA"/>
        </w:rPr>
        <w:t>for</w:t>
      </w:r>
      <w:proofErr w:type="spellEnd"/>
      <w:r w:rsidRPr="001E06B3">
        <w:rPr>
          <w:rFonts w:ascii="Times New Roman" w:hAnsi="Times New Roman"/>
          <w:sz w:val="20"/>
          <w:szCs w:val="20"/>
          <w:lang w:val="uk-UA"/>
        </w:rPr>
        <w:t xml:space="preserve"> </w:t>
      </w:r>
      <w:proofErr w:type="spellStart"/>
      <w:r w:rsidRPr="001E06B3">
        <w:rPr>
          <w:rFonts w:ascii="Times New Roman" w:hAnsi="Times New Roman"/>
          <w:sz w:val="20"/>
          <w:szCs w:val="20"/>
          <w:lang w:val="uk-UA"/>
        </w:rPr>
        <w:t>Everyone</w:t>
      </w:r>
      <w:proofErr w:type="spellEnd"/>
      <w:r w:rsidRPr="001E06B3">
        <w:rPr>
          <w:rFonts w:ascii="Times New Roman" w:hAnsi="Times New Roman"/>
          <w:sz w:val="20"/>
          <w:szCs w:val="20"/>
          <w:lang w:val="en-US"/>
        </w:rPr>
        <w:t xml:space="preserve"> / </w:t>
      </w:r>
      <w:proofErr w:type="gramStart"/>
      <w:r w:rsidRPr="001E06B3">
        <w:rPr>
          <w:rFonts w:ascii="Times New Roman" w:hAnsi="Times New Roman"/>
          <w:sz w:val="20"/>
          <w:szCs w:val="20"/>
          <w:lang w:val="en-US"/>
        </w:rPr>
        <w:t>A</w:t>
      </w:r>
      <w:proofErr w:type="gramEnd"/>
      <w:r w:rsidRPr="001E06B3">
        <w:rPr>
          <w:rFonts w:ascii="Times New Roman" w:hAnsi="Times New Roman"/>
          <w:sz w:val="20"/>
          <w:szCs w:val="20"/>
          <w:lang w:val="en-US"/>
        </w:rPr>
        <w:t xml:space="preserve"> </w:t>
      </w:r>
      <w:proofErr w:type="spellStart"/>
      <w:r w:rsidRPr="001E06B3">
        <w:rPr>
          <w:rFonts w:ascii="Times New Roman" w:hAnsi="Times New Roman"/>
          <w:sz w:val="20"/>
          <w:szCs w:val="20"/>
          <w:lang w:val="en-US"/>
        </w:rPr>
        <w:t>Copublication</w:t>
      </w:r>
      <w:proofErr w:type="spellEnd"/>
      <w:r w:rsidRPr="001E06B3">
        <w:rPr>
          <w:rFonts w:ascii="Times New Roman" w:hAnsi="Times New Roman"/>
          <w:sz w:val="20"/>
          <w:szCs w:val="20"/>
          <w:lang w:val="en-US"/>
        </w:rPr>
        <w:t xml:space="preserve"> of The World Bank and Oxford University Press. – 271 p.</w:t>
      </w:r>
    </w:p>
    <w:p w:rsidR="00E15FBF" w:rsidRPr="001E06B3" w:rsidRDefault="006F09E9" w:rsidP="00E15FBF">
      <w:pPr>
        <w:numPr>
          <w:ilvl w:val="0"/>
          <w:numId w:val="3"/>
        </w:numPr>
        <w:tabs>
          <w:tab w:val="num" w:pos="0"/>
          <w:tab w:val="left" w:pos="1260"/>
        </w:tabs>
        <w:autoSpaceDE w:val="0"/>
        <w:autoSpaceDN w:val="0"/>
        <w:adjustRightInd w:val="0"/>
        <w:spacing w:line="240" w:lineRule="auto"/>
        <w:ind w:left="0" w:firstLine="737"/>
        <w:jc w:val="both"/>
        <w:rPr>
          <w:sz w:val="20"/>
          <w:szCs w:val="20"/>
          <w:lang w:val="uk-UA"/>
        </w:rPr>
      </w:pPr>
      <w:r w:rsidRPr="001E06B3">
        <w:rPr>
          <w:sz w:val="20"/>
          <w:szCs w:val="20"/>
          <w:lang w:val="en-US"/>
        </w:rPr>
        <w:t>O</w:t>
      </w:r>
      <w:proofErr w:type="spellStart"/>
      <w:r w:rsidRPr="001E06B3">
        <w:rPr>
          <w:sz w:val="20"/>
          <w:szCs w:val="20"/>
          <w:lang w:val="uk-UA"/>
        </w:rPr>
        <w:t>фіційний</w:t>
      </w:r>
      <w:proofErr w:type="spellEnd"/>
      <w:r w:rsidRPr="001E06B3">
        <w:rPr>
          <w:sz w:val="20"/>
          <w:szCs w:val="20"/>
          <w:lang w:val="uk-UA"/>
        </w:rPr>
        <w:t xml:space="preserve"> сайт ЮНКТАД</w:t>
      </w:r>
      <w:r w:rsidRPr="001E06B3">
        <w:rPr>
          <w:sz w:val="20"/>
          <w:szCs w:val="20"/>
        </w:rPr>
        <w:t xml:space="preserve"> </w:t>
      </w:r>
      <w:r w:rsidRPr="001E06B3">
        <w:rPr>
          <w:sz w:val="20"/>
          <w:szCs w:val="20"/>
          <w:lang w:val="uk-UA"/>
        </w:rPr>
        <w:t xml:space="preserve">[Електронний ресурс]. – Режим доступу: </w:t>
      </w:r>
      <w:hyperlink r:id="rId12" w:history="1">
        <w:r w:rsidR="00E15FBF" w:rsidRPr="001E06B3">
          <w:rPr>
            <w:rStyle w:val="a6"/>
            <w:color w:val="auto"/>
            <w:sz w:val="20"/>
            <w:szCs w:val="20"/>
            <w:u w:val="none"/>
            <w:lang w:val="uk-UA"/>
          </w:rPr>
          <w:t>http://www.unctad.org</w:t>
        </w:r>
      </w:hyperlink>
      <w:r w:rsidRPr="001E06B3">
        <w:rPr>
          <w:sz w:val="20"/>
          <w:szCs w:val="20"/>
        </w:rPr>
        <w:t>.</w:t>
      </w:r>
    </w:p>
    <w:p w:rsidR="00E15FBF" w:rsidRPr="001E06B3" w:rsidRDefault="00E15FBF" w:rsidP="00E15FBF">
      <w:pPr>
        <w:pStyle w:val="Style4"/>
        <w:widowControl/>
        <w:numPr>
          <w:ilvl w:val="0"/>
          <w:numId w:val="3"/>
        </w:numPr>
        <w:spacing w:line="240" w:lineRule="auto"/>
        <w:ind w:left="0" w:firstLine="737"/>
        <w:rPr>
          <w:rFonts w:ascii="Times New Roman" w:hAnsi="Times New Roman"/>
          <w:sz w:val="20"/>
          <w:szCs w:val="20"/>
          <w:lang w:val="uk-UA"/>
        </w:rPr>
      </w:pPr>
      <w:proofErr w:type="spellStart"/>
      <w:r w:rsidRPr="001E06B3">
        <w:rPr>
          <w:rFonts w:ascii="Times New Roman" w:hAnsi="Times New Roman"/>
          <w:sz w:val="20"/>
          <w:szCs w:val="20"/>
          <w:lang w:val="uk-UA"/>
        </w:rPr>
        <w:t>Терехов</w:t>
      </w:r>
      <w:proofErr w:type="spellEnd"/>
      <w:r w:rsidRPr="001E06B3">
        <w:rPr>
          <w:rFonts w:ascii="Times New Roman" w:hAnsi="Times New Roman"/>
          <w:sz w:val="20"/>
          <w:szCs w:val="20"/>
          <w:lang w:val="uk-UA"/>
        </w:rPr>
        <w:t xml:space="preserve"> Є.М., Прокопенко О.В. Вплив транснаціональних корпорацій на розвиток національних економічних систем // Вісник </w:t>
      </w:r>
      <w:proofErr w:type="spellStart"/>
      <w:r w:rsidRPr="001E06B3">
        <w:rPr>
          <w:rFonts w:ascii="Times New Roman" w:hAnsi="Times New Roman"/>
          <w:sz w:val="20"/>
          <w:szCs w:val="20"/>
          <w:lang w:val="uk-UA"/>
        </w:rPr>
        <w:t>СумДУ</w:t>
      </w:r>
      <w:proofErr w:type="spellEnd"/>
      <w:r w:rsidRPr="001E06B3">
        <w:rPr>
          <w:rFonts w:ascii="Times New Roman" w:hAnsi="Times New Roman"/>
          <w:sz w:val="20"/>
          <w:szCs w:val="20"/>
          <w:lang w:val="uk-UA"/>
        </w:rPr>
        <w:t>. – 2010. – №1. – С.103-113.</w:t>
      </w:r>
    </w:p>
    <w:p w:rsidR="00E15FBF" w:rsidRPr="001E06B3" w:rsidRDefault="00E15FBF" w:rsidP="00E15FBF">
      <w:pPr>
        <w:pStyle w:val="Style4"/>
        <w:numPr>
          <w:ilvl w:val="0"/>
          <w:numId w:val="3"/>
        </w:numPr>
        <w:spacing w:line="240" w:lineRule="auto"/>
        <w:ind w:left="0" w:firstLine="737"/>
        <w:rPr>
          <w:rFonts w:ascii="Times New Roman" w:hAnsi="Times New Roman"/>
          <w:sz w:val="20"/>
          <w:szCs w:val="20"/>
          <w:lang w:val="uk-UA"/>
        </w:rPr>
      </w:pPr>
      <w:r w:rsidRPr="001E06B3">
        <w:rPr>
          <w:rFonts w:ascii="Times New Roman" w:hAnsi="Times New Roman"/>
          <w:sz w:val="20"/>
          <w:szCs w:val="20"/>
          <w:lang w:val="uk-UA"/>
        </w:rPr>
        <w:t>Якубовський С. О. Транснаціональні корпорації : особливості інвестиційної діяльності : [</w:t>
      </w:r>
      <w:proofErr w:type="spellStart"/>
      <w:r w:rsidRPr="001E06B3">
        <w:rPr>
          <w:rFonts w:ascii="Times New Roman" w:hAnsi="Times New Roman"/>
          <w:sz w:val="20"/>
          <w:szCs w:val="20"/>
          <w:lang w:val="uk-UA"/>
        </w:rPr>
        <w:t>навч</w:t>
      </w:r>
      <w:proofErr w:type="spellEnd"/>
      <w:r w:rsidRPr="001E06B3">
        <w:rPr>
          <w:rFonts w:ascii="Times New Roman" w:hAnsi="Times New Roman"/>
          <w:sz w:val="20"/>
          <w:szCs w:val="20"/>
          <w:lang w:val="uk-UA"/>
        </w:rPr>
        <w:t xml:space="preserve">. </w:t>
      </w:r>
      <w:proofErr w:type="spellStart"/>
      <w:r w:rsidRPr="001E06B3">
        <w:rPr>
          <w:rFonts w:ascii="Times New Roman" w:hAnsi="Times New Roman"/>
          <w:sz w:val="20"/>
          <w:szCs w:val="20"/>
          <w:lang w:val="uk-UA"/>
        </w:rPr>
        <w:t>посіб</w:t>
      </w:r>
      <w:proofErr w:type="spellEnd"/>
      <w:r w:rsidRPr="001E06B3">
        <w:rPr>
          <w:rFonts w:ascii="Times New Roman" w:hAnsi="Times New Roman"/>
          <w:sz w:val="20"/>
          <w:szCs w:val="20"/>
          <w:lang w:val="uk-UA"/>
        </w:rPr>
        <w:t>.] / Якубовський  С. О., Козак Ю. Г., Логвинова Л. – К. : Центр учбової літератури, 2011. – 472 с.</w:t>
      </w:r>
    </w:p>
    <w:p w:rsidR="00E15FBF" w:rsidRPr="001E06B3" w:rsidRDefault="00E15FBF" w:rsidP="00E15FBF">
      <w:pPr>
        <w:pStyle w:val="Style4"/>
        <w:spacing w:line="240" w:lineRule="auto"/>
        <w:ind w:firstLine="0"/>
        <w:rPr>
          <w:rFonts w:ascii="Times New Roman" w:hAnsi="Times New Roman"/>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66419C" w:rsidRDefault="0066419C" w:rsidP="0066419C">
      <w:pPr>
        <w:spacing w:line="240" w:lineRule="auto"/>
        <w:ind w:firstLine="567"/>
        <w:jc w:val="both"/>
        <w:rPr>
          <w:b/>
          <w:bCs/>
          <w:sz w:val="20"/>
          <w:szCs w:val="20"/>
          <w:lang w:val="uk-UA"/>
        </w:rPr>
      </w:pPr>
    </w:p>
    <w:p w:rsidR="008D20F6" w:rsidRDefault="008D20F6" w:rsidP="0066419C">
      <w:pPr>
        <w:spacing w:line="240" w:lineRule="auto"/>
        <w:ind w:firstLine="567"/>
        <w:jc w:val="both"/>
        <w:rPr>
          <w:b/>
          <w:bCs/>
          <w:sz w:val="20"/>
          <w:szCs w:val="20"/>
          <w:lang w:val="uk-UA"/>
        </w:rPr>
      </w:pPr>
    </w:p>
    <w:p w:rsidR="008D20F6" w:rsidRDefault="008D20F6" w:rsidP="0066419C">
      <w:pPr>
        <w:spacing w:line="240" w:lineRule="auto"/>
        <w:ind w:firstLine="567"/>
        <w:jc w:val="both"/>
        <w:rPr>
          <w:b/>
          <w:bCs/>
          <w:sz w:val="20"/>
          <w:szCs w:val="20"/>
          <w:lang w:val="uk-UA"/>
        </w:rPr>
      </w:pPr>
    </w:p>
    <w:p w:rsidR="008D20F6" w:rsidRPr="001E06B3" w:rsidRDefault="008D20F6" w:rsidP="0066419C">
      <w:pPr>
        <w:spacing w:line="240" w:lineRule="auto"/>
        <w:ind w:firstLine="567"/>
        <w:jc w:val="both"/>
        <w:rPr>
          <w:b/>
          <w:bCs/>
          <w:sz w:val="20"/>
          <w:szCs w:val="20"/>
          <w:lang w:val="uk-UA"/>
        </w:rPr>
      </w:pPr>
    </w:p>
    <w:p w:rsidR="0066419C" w:rsidRPr="001E06B3" w:rsidRDefault="0066419C" w:rsidP="0066419C">
      <w:pPr>
        <w:spacing w:line="240" w:lineRule="auto"/>
        <w:ind w:firstLine="567"/>
        <w:jc w:val="both"/>
        <w:rPr>
          <w:b/>
          <w:bCs/>
          <w:sz w:val="20"/>
          <w:szCs w:val="20"/>
          <w:lang w:val="uk-UA"/>
        </w:rPr>
      </w:pPr>
    </w:p>
    <w:p w:rsidR="00A650B0" w:rsidRPr="001E06B3" w:rsidRDefault="00A650B0" w:rsidP="00C252FD">
      <w:pPr>
        <w:spacing w:line="240" w:lineRule="auto"/>
        <w:rPr>
          <w:sz w:val="20"/>
          <w:szCs w:val="20"/>
          <w:lang w:val="uk-UA"/>
        </w:rPr>
      </w:pPr>
    </w:p>
    <w:sectPr w:rsidR="00A650B0" w:rsidRPr="001E06B3" w:rsidSect="00C252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C28"/>
    <w:multiLevelType w:val="hybridMultilevel"/>
    <w:tmpl w:val="C96AA03E"/>
    <w:lvl w:ilvl="0" w:tplc="A1A4C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7162C7"/>
    <w:multiLevelType w:val="hybridMultilevel"/>
    <w:tmpl w:val="FC527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885597"/>
    <w:multiLevelType w:val="hybridMultilevel"/>
    <w:tmpl w:val="AEA8FBEE"/>
    <w:lvl w:ilvl="0" w:tplc="A282C48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12C4EB9"/>
    <w:multiLevelType w:val="hybridMultilevel"/>
    <w:tmpl w:val="AEA8FBEE"/>
    <w:lvl w:ilvl="0" w:tplc="A282C48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9EB709A"/>
    <w:multiLevelType w:val="hybridMultilevel"/>
    <w:tmpl w:val="3C829638"/>
    <w:lvl w:ilvl="0" w:tplc="A282C48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041E91"/>
    <w:multiLevelType w:val="hybridMultilevel"/>
    <w:tmpl w:val="A6049776"/>
    <w:lvl w:ilvl="0" w:tplc="F46449B4">
      <w:start w:val="1"/>
      <w:numFmt w:val="decimal"/>
      <w:pStyle w:val="a"/>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4D2"/>
    <w:rsid w:val="00063E78"/>
    <w:rsid w:val="000641E1"/>
    <w:rsid w:val="000A14BB"/>
    <w:rsid w:val="000B2F3C"/>
    <w:rsid w:val="000C3E08"/>
    <w:rsid w:val="000E5E6C"/>
    <w:rsid w:val="0019753D"/>
    <w:rsid w:val="001E06B3"/>
    <w:rsid w:val="002341CF"/>
    <w:rsid w:val="00242E8A"/>
    <w:rsid w:val="003044EC"/>
    <w:rsid w:val="003516C1"/>
    <w:rsid w:val="003B5B44"/>
    <w:rsid w:val="004966A5"/>
    <w:rsid w:val="004C0F36"/>
    <w:rsid w:val="005105CE"/>
    <w:rsid w:val="005B50D0"/>
    <w:rsid w:val="005C5214"/>
    <w:rsid w:val="006127BA"/>
    <w:rsid w:val="0066419C"/>
    <w:rsid w:val="006A3CA0"/>
    <w:rsid w:val="006F09E9"/>
    <w:rsid w:val="007C11AA"/>
    <w:rsid w:val="007E1441"/>
    <w:rsid w:val="0085788B"/>
    <w:rsid w:val="00886CF6"/>
    <w:rsid w:val="008D20F6"/>
    <w:rsid w:val="008E09F6"/>
    <w:rsid w:val="00905388"/>
    <w:rsid w:val="009264D2"/>
    <w:rsid w:val="00990839"/>
    <w:rsid w:val="009D55C0"/>
    <w:rsid w:val="00A650B0"/>
    <w:rsid w:val="00AD2880"/>
    <w:rsid w:val="00B45107"/>
    <w:rsid w:val="00B93F84"/>
    <w:rsid w:val="00BA3968"/>
    <w:rsid w:val="00BB012D"/>
    <w:rsid w:val="00BC7412"/>
    <w:rsid w:val="00BE065B"/>
    <w:rsid w:val="00C252FD"/>
    <w:rsid w:val="00C866AF"/>
    <w:rsid w:val="00E15FBF"/>
    <w:rsid w:val="00E332F8"/>
    <w:rsid w:val="00E439F2"/>
    <w:rsid w:val="00E45DE3"/>
    <w:rsid w:val="00E50FC1"/>
    <w:rsid w:val="00EC0A3B"/>
    <w:rsid w:val="00ED7727"/>
    <w:rsid w:val="00F027E3"/>
    <w:rsid w:val="00F62E95"/>
    <w:rsid w:val="00FB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64D2"/>
    <w:pPr>
      <w:spacing w:after="0" w:line="360" w:lineRule="auto"/>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650B0"/>
    <w:pPr>
      <w:numPr>
        <w:numId w:val="1"/>
      </w:numPr>
      <w:contextualSpacing/>
      <w:jc w:val="both"/>
    </w:pPr>
    <w:rPr>
      <w:rFonts w:eastAsia="Calibri"/>
      <w:szCs w:val="28"/>
      <w:lang w:val="uk-UA" w:eastAsia="en-US"/>
    </w:rPr>
  </w:style>
  <w:style w:type="character" w:customStyle="1" w:styleId="longtext">
    <w:name w:val="long_text"/>
    <w:basedOn w:val="a1"/>
    <w:rsid w:val="00A650B0"/>
  </w:style>
  <w:style w:type="paragraph" w:styleId="a4">
    <w:name w:val="Balloon Text"/>
    <w:basedOn w:val="a0"/>
    <w:link w:val="a5"/>
    <w:uiPriority w:val="99"/>
    <w:semiHidden/>
    <w:unhideWhenUsed/>
    <w:rsid w:val="00A650B0"/>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A650B0"/>
    <w:rPr>
      <w:rFonts w:ascii="Tahoma" w:eastAsia="Times New Roman" w:hAnsi="Tahoma" w:cs="Tahoma"/>
      <w:sz w:val="16"/>
      <w:szCs w:val="16"/>
      <w:lang w:eastAsia="ru-RU"/>
    </w:rPr>
  </w:style>
  <w:style w:type="character" w:customStyle="1" w:styleId="hps">
    <w:name w:val="hps"/>
    <w:basedOn w:val="a1"/>
    <w:rsid w:val="00063E78"/>
  </w:style>
  <w:style w:type="character" w:customStyle="1" w:styleId="atn">
    <w:name w:val="atn"/>
    <w:basedOn w:val="a1"/>
    <w:rsid w:val="000641E1"/>
  </w:style>
  <w:style w:type="paragraph" w:customStyle="1" w:styleId="Style4">
    <w:name w:val="Style4"/>
    <w:basedOn w:val="a0"/>
    <w:rsid w:val="00E15FBF"/>
    <w:pPr>
      <w:widowControl w:val="0"/>
      <w:autoSpaceDE w:val="0"/>
      <w:autoSpaceDN w:val="0"/>
      <w:adjustRightInd w:val="0"/>
      <w:spacing w:line="250" w:lineRule="exact"/>
      <w:ind w:firstLine="278"/>
      <w:jc w:val="both"/>
    </w:pPr>
    <w:rPr>
      <w:rFonts w:ascii="Bookman Old Style" w:hAnsi="Bookman Old Style"/>
      <w:sz w:val="24"/>
    </w:rPr>
  </w:style>
  <w:style w:type="character" w:styleId="a6">
    <w:name w:val="Hyperlink"/>
    <w:basedOn w:val="a1"/>
    <w:uiPriority w:val="99"/>
    <w:rsid w:val="00E15F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64D2"/>
    <w:pPr>
      <w:spacing w:after="0" w:line="360" w:lineRule="auto"/>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650B0"/>
    <w:pPr>
      <w:numPr>
        <w:numId w:val="1"/>
      </w:numPr>
      <w:contextualSpacing/>
      <w:jc w:val="both"/>
    </w:pPr>
    <w:rPr>
      <w:rFonts w:eastAsia="Calibri"/>
      <w:szCs w:val="28"/>
      <w:lang w:val="uk-UA" w:eastAsia="en-US"/>
    </w:rPr>
  </w:style>
  <w:style w:type="character" w:customStyle="1" w:styleId="longtext">
    <w:name w:val="long_text"/>
    <w:basedOn w:val="a1"/>
    <w:rsid w:val="00A650B0"/>
  </w:style>
  <w:style w:type="paragraph" w:styleId="a4">
    <w:name w:val="Balloon Text"/>
    <w:basedOn w:val="a0"/>
    <w:link w:val="a5"/>
    <w:uiPriority w:val="99"/>
    <w:semiHidden/>
    <w:unhideWhenUsed/>
    <w:rsid w:val="00A650B0"/>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A650B0"/>
    <w:rPr>
      <w:rFonts w:ascii="Tahoma" w:eastAsia="Times New Roman" w:hAnsi="Tahoma" w:cs="Tahoma"/>
      <w:sz w:val="16"/>
      <w:szCs w:val="16"/>
      <w:lang w:eastAsia="ru-RU"/>
    </w:rPr>
  </w:style>
  <w:style w:type="character" w:customStyle="1" w:styleId="hps">
    <w:name w:val="hps"/>
    <w:basedOn w:val="a1"/>
    <w:rsid w:val="00063E78"/>
  </w:style>
  <w:style w:type="character" w:customStyle="1" w:styleId="atn">
    <w:name w:val="atn"/>
    <w:basedOn w:val="a1"/>
    <w:rsid w:val="000641E1"/>
  </w:style>
  <w:style w:type="paragraph" w:customStyle="1" w:styleId="Style4">
    <w:name w:val="Style4"/>
    <w:basedOn w:val="a0"/>
    <w:rsid w:val="00E15FBF"/>
    <w:pPr>
      <w:widowControl w:val="0"/>
      <w:autoSpaceDE w:val="0"/>
      <w:autoSpaceDN w:val="0"/>
      <w:adjustRightInd w:val="0"/>
      <w:spacing w:line="250" w:lineRule="exact"/>
      <w:ind w:firstLine="278"/>
      <w:jc w:val="both"/>
    </w:pPr>
    <w:rPr>
      <w:rFonts w:ascii="Bookman Old Style" w:hAnsi="Bookman Old Style"/>
      <w:sz w:val="24"/>
    </w:rPr>
  </w:style>
  <w:style w:type="character" w:styleId="a6">
    <w:name w:val="Hyperlink"/>
    <w:basedOn w:val="a1"/>
    <w:uiPriority w:val="99"/>
    <w:rsid w:val="00E15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http://www.unct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4;&#1080;&#1087;&#1083;&#1086;&#1084;%20&#1055;&#1077;&#1076;&#1080;&#1095;%20&#1046;\&#1050;&#1085;&#1080;&#1075;&#1072;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WINDOWS\Temp\Rar$DI84.642\&#1050;&#1085;&#1080;&#1075;&#1072;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4;&#1080;&#1087;&#1083;&#1086;&#1084;%20&#1055;&#1077;&#1076;&#1080;&#1095;%20&#1046;\&#1050;&#1085;&#1080;&#1075;&#107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WINDOWS\Temp\Rar$DI26.048\&#1050;&#1085;&#1080;&#1075;&#1072;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WINDOWS\Temp\Rar$DI26.048\&#1050;&#1085;&#1080;&#1075;&#1072;2.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User\&#1052;&#1086;&#1080;%20&#1076;&#1086;&#1082;&#1091;&#1084;&#1077;&#1085;&#1090;&#1099;\&#1044;&#1080;&#1087;&#1083;&#1086;&#1084;%20&#1055;&#1077;&#1076;&#1080;&#1095;%20&#1046;\&#1050;&#1085;&#1080;&#1075;&#107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doughnutChart>
        <c:varyColors val="1"/>
        <c:ser>
          <c:idx val="0"/>
          <c:order val="0"/>
          <c:explosion val="25"/>
          <c:dLbls>
            <c:dLbl>
              <c:idx val="0"/>
              <c:layout>
                <c:manualLayout>
                  <c:x val="0.14556038532470184"/>
                  <c:y val="-2.764976958525368E-2"/>
                </c:manualLayout>
              </c:layout>
              <c:showLegendKey val="0"/>
              <c:showVal val="1"/>
              <c:showCatName val="1"/>
              <c:showSerName val="0"/>
              <c:showPercent val="0"/>
              <c:showBubbleSize val="0"/>
            </c:dLbl>
            <c:dLbl>
              <c:idx val="1"/>
              <c:layout>
                <c:manualLayout>
                  <c:x val="0.12615233394807437"/>
                  <c:y val="5.5299539170506916E-2"/>
                </c:manualLayout>
              </c:layout>
              <c:showLegendKey val="0"/>
              <c:showVal val="1"/>
              <c:showCatName val="1"/>
              <c:showSerName val="0"/>
              <c:showPercent val="0"/>
              <c:showBubbleSize val="0"/>
            </c:dLbl>
            <c:dLbl>
              <c:idx val="2"/>
              <c:layout>
                <c:manualLayout>
                  <c:x val="0.11256669798443573"/>
                  <c:y val="0.11981566820276485"/>
                </c:manualLayout>
              </c:layout>
              <c:showLegendKey val="0"/>
              <c:showVal val="1"/>
              <c:showCatName val="1"/>
              <c:showSerName val="0"/>
              <c:showPercent val="0"/>
              <c:showBubbleSize val="0"/>
            </c:dLbl>
            <c:dLbl>
              <c:idx val="3"/>
              <c:layout>
                <c:manualLayout>
                  <c:x val="-8.5395426057158247E-2"/>
                  <c:y val="0.12903225806451618"/>
                </c:manualLayout>
              </c:layout>
              <c:showLegendKey val="0"/>
              <c:showVal val="1"/>
              <c:showCatName val="1"/>
              <c:showSerName val="0"/>
              <c:showPercent val="0"/>
              <c:showBubbleSize val="0"/>
            </c:dLbl>
            <c:dLbl>
              <c:idx val="4"/>
              <c:layout>
                <c:manualLayout>
                  <c:x val="-0.20960695486756994"/>
                  <c:y val="1.5360983102918613E-2"/>
                </c:manualLayout>
              </c:layout>
              <c:showLegendKey val="0"/>
              <c:showVal val="1"/>
              <c:showCatName val="1"/>
              <c:showSerName val="0"/>
              <c:showPercent val="0"/>
              <c:showBubbleSize val="0"/>
            </c:dLbl>
            <c:dLbl>
              <c:idx val="5"/>
              <c:layout>
                <c:manualLayout>
                  <c:x val="-0.16302763156366548"/>
                  <c:y val="-6.1443932411674354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Лист2!$A$2:$A$7</c:f>
              <c:strCache>
                <c:ptCount val="6"/>
                <c:pt idx="0">
                  <c:v>США</c:v>
                </c:pt>
                <c:pt idx="1">
                  <c:v>Китай</c:v>
                </c:pt>
                <c:pt idx="2">
                  <c:v>Японія</c:v>
                </c:pt>
                <c:pt idx="3">
                  <c:v>Німеччина</c:v>
                </c:pt>
                <c:pt idx="4">
                  <c:v>Великобританія </c:v>
                </c:pt>
                <c:pt idx="5">
                  <c:v>Інші країни світу</c:v>
                </c:pt>
              </c:strCache>
            </c:strRef>
          </c:cat>
          <c:val>
            <c:numRef>
              <c:f>Лист2!$B$2:$B$7</c:f>
              <c:numCache>
                <c:formatCode>General</c:formatCode>
                <c:ptCount val="6"/>
                <c:pt idx="0">
                  <c:v>132</c:v>
                </c:pt>
                <c:pt idx="1">
                  <c:v>73</c:v>
                </c:pt>
                <c:pt idx="2">
                  <c:v>68</c:v>
                </c:pt>
                <c:pt idx="3">
                  <c:v>32</c:v>
                </c:pt>
                <c:pt idx="4">
                  <c:v>26</c:v>
                </c:pt>
                <c:pt idx="5">
                  <c:v>169</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sz="1200" baseline="0">
          <a:solidFill>
            <a:schemeClr val="dk1"/>
          </a:solidFill>
          <a:latin typeface="+mn-lt"/>
          <a:ea typeface="+mn-ea"/>
          <a:cs typeface="+mn-cs"/>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tx>
            <c:strRef>
              <c:f>Лист1!$B$30</c:f>
              <c:strCache>
                <c:ptCount val="1"/>
                <c:pt idx="0">
                  <c:v>млрд.</c:v>
                </c:pt>
              </c:strCache>
            </c:strRef>
          </c:tx>
          <c:dLbls>
            <c:dLbl>
              <c:idx val="0"/>
              <c:layout>
                <c:manualLayout>
                  <c:x val="-9.1199270405836752E-3"/>
                  <c:y val="3.888888888888889E-2"/>
                </c:manualLayout>
              </c:layout>
              <c:showLegendKey val="0"/>
              <c:showVal val="1"/>
              <c:showCatName val="0"/>
              <c:showSerName val="0"/>
              <c:showPercent val="0"/>
              <c:showBubbleSize val="0"/>
            </c:dLbl>
            <c:dLbl>
              <c:idx val="1"/>
              <c:layout>
                <c:manualLayout>
                  <c:x val="-8.5727314181487074E-2"/>
                  <c:y val="-1.6666666666666701E-2"/>
                </c:manualLayout>
              </c:layout>
              <c:showLegendKey val="0"/>
              <c:showVal val="1"/>
              <c:showCatName val="0"/>
              <c:showSerName val="0"/>
              <c:showPercent val="0"/>
              <c:showBubbleSize val="0"/>
            </c:dLbl>
            <c:dLbl>
              <c:idx val="2"/>
              <c:layout>
                <c:manualLayout>
                  <c:x val="-3.4655722754218014E-2"/>
                  <c:y val="-3.8888888888888862E-2"/>
                </c:manualLayout>
              </c:layout>
              <c:showLegendKey val="0"/>
              <c:showVal val="1"/>
              <c:showCatName val="0"/>
              <c:showSerName val="0"/>
              <c:showPercent val="0"/>
              <c:showBubbleSize val="0"/>
            </c:dLbl>
            <c:dLbl>
              <c:idx val="4"/>
              <c:layout>
                <c:manualLayout>
                  <c:x val="-3.6479708162334833E-2"/>
                  <c:y val="4.7222222222222332E-2"/>
                </c:manualLayout>
              </c:layout>
              <c:showLegendKey val="0"/>
              <c:showVal val="1"/>
              <c:showCatName val="0"/>
              <c:showSerName val="0"/>
              <c:showPercent val="0"/>
              <c:showBubbleSize val="0"/>
            </c:dLbl>
            <c:dLbl>
              <c:idx val="5"/>
              <c:layout>
                <c:manualLayout>
                  <c:x val="0"/>
                  <c:y val="3.6111111111111212E-2"/>
                </c:manualLayout>
              </c:layout>
              <c:showLegendKey val="0"/>
              <c:showVal val="1"/>
              <c:showCatName val="0"/>
              <c:showSerName val="0"/>
              <c:showPercent val="0"/>
              <c:showBubbleSize val="0"/>
            </c:dLbl>
            <c:dLbl>
              <c:idx val="6"/>
              <c:layout>
                <c:manualLayout>
                  <c:x val="-3.4655722754218014E-2"/>
                  <c:y val="-4.1666666666666692E-2"/>
                </c:manualLayout>
              </c:layout>
              <c:showLegendKey val="0"/>
              <c:showVal val="1"/>
              <c:showCatName val="0"/>
              <c:showSerName val="0"/>
              <c:showPercent val="0"/>
              <c:showBubbleSize val="0"/>
            </c:dLbl>
            <c:dLbl>
              <c:idx val="7"/>
              <c:layout>
                <c:manualLayout>
                  <c:x val="-3.8303693570451457E-2"/>
                  <c:y val="3.888888888888889E-2"/>
                </c:manualLayout>
              </c:layout>
              <c:showLegendKey val="0"/>
              <c:showVal val="1"/>
              <c:showCatName val="0"/>
              <c:showSerName val="0"/>
              <c:showPercent val="0"/>
              <c:showBubbleSize val="0"/>
            </c:dLbl>
            <c:dLbl>
              <c:idx val="8"/>
              <c:layout>
                <c:manualLayout>
                  <c:x val="-6.0878809176111125E-2"/>
                  <c:y val="-4.4444364684778546E-2"/>
                </c:manualLayout>
              </c:layout>
              <c:showLegendKey val="0"/>
              <c:showVal val="1"/>
              <c:showCatName val="0"/>
              <c:showSerName val="0"/>
              <c:showPercent val="0"/>
              <c:showBubbleSize val="0"/>
            </c:dLbl>
            <c:dLbl>
              <c:idx val="9"/>
              <c:layout>
                <c:manualLayout>
                  <c:x val="-1.9241047568145389E-2"/>
                  <c:y val="3.9070842050993704E-2"/>
                </c:manualLayout>
              </c:layout>
              <c:showLegendKey val="0"/>
              <c:showVal val="1"/>
              <c:showCatName val="0"/>
              <c:showSerName val="0"/>
              <c:showPercent val="0"/>
              <c:showBubbleSize val="0"/>
            </c:dLbl>
            <c:dLbl>
              <c:idx val="10"/>
              <c:layout>
                <c:manualLayout>
                  <c:x val="-3.8303693570451457E-2"/>
                  <c:y val="-4.4444444444444522E-2"/>
                </c:manualLayout>
              </c:layout>
              <c:showLegendKey val="0"/>
              <c:showVal val="1"/>
              <c:showCatName val="0"/>
              <c:showSerName val="0"/>
              <c:showPercent val="0"/>
              <c:showBubbleSize val="0"/>
            </c:dLbl>
            <c:spPr>
              <a:ln w="6350">
                <a:solidFill>
                  <a:sysClr val="windowText" lastClr="000000"/>
                </a:solidFill>
              </a:ln>
            </c:spPr>
            <c:showLegendKey val="0"/>
            <c:showVal val="1"/>
            <c:showCatName val="0"/>
            <c:showSerName val="0"/>
            <c:showPercent val="0"/>
            <c:showBubbleSize val="0"/>
            <c:showLeaderLines val="0"/>
          </c:dLbls>
          <c:cat>
            <c:numRef>
              <c:f>Лист1!$A$31:$A$41</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Лист1!$B$31:$B$41</c:f>
              <c:numCache>
                <c:formatCode>General</c:formatCode>
                <c:ptCount val="11"/>
                <c:pt idx="0">
                  <c:v>1000</c:v>
                </c:pt>
                <c:pt idx="1">
                  <c:v>1450</c:v>
                </c:pt>
                <c:pt idx="2">
                  <c:v>2000</c:v>
                </c:pt>
                <c:pt idx="3">
                  <c:v>1800</c:v>
                </c:pt>
                <c:pt idx="4">
                  <c:v>1150</c:v>
                </c:pt>
                <c:pt idx="5">
                  <c:v>1409</c:v>
                </c:pt>
                <c:pt idx="6">
                  <c:v>1652</c:v>
                </c:pt>
                <c:pt idx="7">
                  <c:v>1351</c:v>
                </c:pt>
                <c:pt idx="8">
                  <c:v>1450</c:v>
                </c:pt>
                <c:pt idx="9">
                  <c:v>1600</c:v>
                </c:pt>
                <c:pt idx="10">
                  <c:v>1800</c:v>
                </c:pt>
              </c:numCache>
            </c:numRef>
          </c:val>
          <c:smooth val="0"/>
        </c:ser>
        <c:dLbls>
          <c:showLegendKey val="0"/>
          <c:showVal val="0"/>
          <c:showCatName val="0"/>
          <c:showSerName val="0"/>
          <c:showPercent val="0"/>
          <c:showBubbleSize val="0"/>
        </c:dLbls>
        <c:marker val="1"/>
        <c:smooth val="0"/>
        <c:axId val="149243008"/>
        <c:axId val="149244544"/>
      </c:lineChart>
      <c:catAx>
        <c:axId val="149243008"/>
        <c:scaling>
          <c:orientation val="minMax"/>
        </c:scaling>
        <c:delete val="0"/>
        <c:axPos val="b"/>
        <c:numFmt formatCode="General" sourceLinked="1"/>
        <c:majorTickMark val="out"/>
        <c:minorTickMark val="none"/>
        <c:tickLblPos val="nextTo"/>
        <c:crossAx val="149244544"/>
        <c:crosses val="autoZero"/>
        <c:auto val="1"/>
        <c:lblAlgn val="ctr"/>
        <c:lblOffset val="100"/>
        <c:noMultiLvlLbl val="0"/>
      </c:catAx>
      <c:valAx>
        <c:axId val="149244544"/>
        <c:scaling>
          <c:orientation val="minMax"/>
        </c:scaling>
        <c:delete val="0"/>
        <c:axPos val="l"/>
        <c:majorGridlines/>
        <c:numFmt formatCode="General" sourceLinked="1"/>
        <c:majorTickMark val="out"/>
        <c:minorTickMark val="none"/>
        <c:tickLblPos val="nextTo"/>
        <c:crossAx val="149243008"/>
        <c:crosses val="autoZero"/>
        <c:crossBetween val="between"/>
      </c:valAx>
    </c:plotArea>
    <c:plotVisOnly val="1"/>
    <c:dispBlanksAs val="zero"/>
    <c:showDLblsOverMax val="0"/>
  </c:chart>
  <c:spPr>
    <a:solidFill>
      <a:schemeClr val="lt1"/>
    </a:solidFill>
    <a:ln w="25400" cap="flat" cmpd="sng" algn="ctr">
      <a:solidFill>
        <a:schemeClr val="dk1"/>
      </a:solidFill>
      <a:prstDash val="solid"/>
    </a:ln>
    <a:effectLst/>
  </c:spPr>
  <c:txPr>
    <a:bodyPr/>
    <a:lstStyle/>
    <a:p>
      <a:pPr>
        <a:defRPr sz="1200" baseline="0">
          <a:solidFill>
            <a:schemeClr val="dk1"/>
          </a:solidFill>
          <a:latin typeface="+mn-lt"/>
          <a:ea typeface="+mn-ea"/>
          <a:cs typeface="+mn-cs"/>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areaChart>
        <c:grouping val="percentStacked"/>
        <c:varyColors val="0"/>
        <c:ser>
          <c:idx val="0"/>
          <c:order val="0"/>
          <c:tx>
            <c:strRef>
              <c:f>Лист1!$B$30</c:f>
              <c:strCache>
                <c:ptCount val="1"/>
                <c:pt idx="0">
                  <c:v>Країни з перехідною економікою</c:v>
                </c:pt>
              </c:strCache>
            </c:strRef>
          </c:tx>
          <c:dLbls>
            <c:showLegendKey val="0"/>
            <c:showVal val="1"/>
            <c:showCatName val="0"/>
            <c:showSerName val="0"/>
            <c:showPercent val="0"/>
            <c:showBubbleSize val="0"/>
            <c:showLeaderLines val="0"/>
          </c:dLbls>
          <c:cat>
            <c:numRef>
              <c:f>Лист1!$A$31:$A$38</c:f>
              <c:numCache>
                <c:formatCode>General</c:formatCode>
                <c:ptCount val="8"/>
                <c:pt idx="0">
                  <c:v>2005</c:v>
                </c:pt>
                <c:pt idx="1">
                  <c:v>2006</c:v>
                </c:pt>
                <c:pt idx="2">
                  <c:v>2007</c:v>
                </c:pt>
                <c:pt idx="3">
                  <c:v>2008</c:v>
                </c:pt>
                <c:pt idx="4">
                  <c:v>2009</c:v>
                </c:pt>
                <c:pt idx="5">
                  <c:v>2010</c:v>
                </c:pt>
                <c:pt idx="6">
                  <c:v>2011</c:v>
                </c:pt>
                <c:pt idx="7">
                  <c:v>2012</c:v>
                </c:pt>
              </c:numCache>
            </c:numRef>
          </c:cat>
          <c:val>
            <c:numRef>
              <c:f>Лист1!$B$31:$B$38</c:f>
              <c:numCache>
                <c:formatCode>General</c:formatCode>
                <c:ptCount val="8"/>
                <c:pt idx="0">
                  <c:v>5</c:v>
                </c:pt>
                <c:pt idx="1">
                  <c:v>4</c:v>
                </c:pt>
                <c:pt idx="2">
                  <c:v>5</c:v>
                </c:pt>
                <c:pt idx="3">
                  <c:v>6</c:v>
                </c:pt>
                <c:pt idx="4">
                  <c:v>8</c:v>
                </c:pt>
                <c:pt idx="5">
                  <c:v>9</c:v>
                </c:pt>
                <c:pt idx="6">
                  <c:v>9</c:v>
                </c:pt>
                <c:pt idx="7">
                  <c:v>13</c:v>
                </c:pt>
              </c:numCache>
            </c:numRef>
          </c:val>
        </c:ser>
        <c:ser>
          <c:idx val="1"/>
          <c:order val="1"/>
          <c:tx>
            <c:strRef>
              <c:f>Лист1!$C$30</c:f>
              <c:strCache>
                <c:ptCount val="1"/>
                <c:pt idx="0">
                  <c:v>Країни, що розвиваються</c:v>
                </c:pt>
              </c:strCache>
            </c:strRef>
          </c:tx>
          <c:dLbls>
            <c:showLegendKey val="0"/>
            <c:showVal val="1"/>
            <c:showCatName val="0"/>
            <c:showSerName val="0"/>
            <c:showPercent val="0"/>
            <c:showBubbleSize val="0"/>
            <c:showLeaderLines val="0"/>
          </c:dLbls>
          <c:cat>
            <c:numRef>
              <c:f>Лист1!$A$31:$A$38</c:f>
              <c:numCache>
                <c:formatCode>General</c:formatCode>
                <c:ptCount val="8"/>
                <c:pt idx="0">
                  <c:v>2005</c:v>
                </c:pt>
                <c:pt idx="1">
                  <c:v>2006</c:v>
                </c:pt>
                <c:pt idx="2">
                  <c:v>2007</c:v>
                </c:pt>
                <c:pt idx="3">
                  <c:v>2008</c:v>
                </c:pt>
                <c:pt idx="4">
                  <c:v>2009</c:v>
                </c:pt>
                <c:pt idx="5">
                  <c:v>2010</c:v>
                </c:pt>
                <c:pt idx="6">
                  <c:v>2011</c:v>
                </c:pt>
                <c:pt idx="7">
                  <c:v>2012</c:v>
                </c:pt>
              </c:numCache>
            </c:numRef>
          </c:cat>
          <c:val>
            <c:numRef>
              <c:f>Лист1!$C$31:$C$38</c:f>
              <c:numCache>
                <c:formatCode>General</c:formatCode>
                <c:ptCount val="8"/>
                <c:pt idx="0">
                  <c:v>38</c:v>
                </c:pt>
                <c:pt idx="1">
                  <c:v>34</c:v>
                </c:pt>
                <c:pt idx="2">
                  <c:v>29</c:v>
                </c:pt>
                <c:pt idx="3">
                  <c:v>26</c:v>
                </c:pt>
                <c:pt idx="4">
                  <c:v>36</c:v>
                </c:pt>
                <c:pt idx="5">
                  <c:v>37</c:v>
                </c:pt>
                <c:pt idx="6">
                  <c:v>49</c:v>
                </c:pt>
                <c:pt idx="7">
                  <c:v>52</c:v>
                </c:pt>
              </c:numCache>
            </c:numRef>
          </c:val>
        </c:ser>
        <c:ser>
          <c:idx val="2"/>
          <c:order val="2"/>
          <c:tx>
            <c:strRef>
              <c:f>Лист1!$D$30</c:f>
              <c:strCache>
                <c:ptCount val="1"/>
                <c:pt idx="0">
                  <c:v> Розвинені економіки</c:v>
                </c:pt>
              </c:strCache>
            </c:strRef>
          </c:tx>
          <c:dLbls>
            <c:txPr>
              <a:bodyPr/>
              <a:lstStyle/>
              <a:p>
                <a:pPr>
                  <a:defRPr baseline="0"/>
                </a:pPr>
                <a:endParaRPr lang="uk-UA"/>
              </a:p>
            </c:txPr>
            <c:showLegendKey val="0"/>
            <c:showVal val="1"/>
            <c:showCatName val="0"/>
            <c:showSerName val="0"/>
            <c:showPercent val="0"/>
            <c:showBubbleSize val="0"/>
            <c:showLeaderLines val="0"/>
          </c:dLbls>
          <c:cat>
            <c:numRef>
              <c:f>Лист1!$A$31:$A$38</c:f>
              <c:numCache>
                <c:formatCode>General</c:formatCode>
                <c:ptCount val="8"/>
                <c:pt idx="0">
                  <c:v>2005</c:v>
                </c:pt>
                <c:pt idx="1">
                  <c:v>2006</c:v>
                </c:pt>
                <c:pt idx="2">
                  <c:v>2007</c:v>
                </c:pt>
                <c:pt idx="3">
                  <c:v>2008</c:v>
                </c:pt>
                <c:pt idx="4">
                  <c:v>2009</c:v>
                </c:pt>
                <c:pt idx="5">
                  <c:v>2010</c:v>
                </c:pt>
                <c:pt idx="6">
                  <c:v>2011</c:v>
                </c:pt>
                <c:pt idx="7">
                  <c:v>2012</c:v>
                </c:pt>
              </c:numCache>
            </c:numRef>
          </c:cat>
          <c:val>
            <c:numRef>
              <c:f>Лист1!$D$31:$D$38</c:f>
              <c:numCache>
                <c:formatCode>General</c:formatCode>
                <c:ptCount val="8"/>
                <c:pt idx="0">
                  <c:v>57</c:v>
                </c:pt>
                <c:pt idx="1">
                  <c:v>62</c:v>
                </c:pt>
                <c:pt idx="2">
                  <c:v>66</c:v>
                </c:pt>
                <c:pt idx="3">
                  <c:v>67</c:v>
                </c:pt>
                <c:pt idx="4">
                  <c:v>56</c:v>
                </c:pt>
                <c:pt idx="5">
                  <c:v>54</c:v>
                </c:pt>
                <c:pt idx="6">
                  <c:v>42</c:v>
                </c:pt>
                <c:pt idx="7">
                  <c:v>35</c:v>
                </c:pt>
              </c:numCache>
            </c:numRef>
          </c:val>
        </c:ser>
        <c:dLbls>
          <c:showLegendKey val="0"/>
          <c:showVal val="0"/>
          <c:showCatName val="0"/>
          <c:showSerName val="0"/>
          <c:showPercent val="0"/>
          <c:showBubbleSize val="0"/>
        </c:dLbls>
        <c:axId val="149279488"/>
        <c:axId val="149281024"/>
      </c:areaChart>
      <c:catAx>
        <c:axId val="149279488"/>
        <c:scaling>
          <c:orientation val="minMax"/>
        </c:scaling>
        <c:delete val="0"/>
        <c:axPos val="b"/>
        <c:numFmt formatCode="General" sourceLinked="1"/>
        <c:majorTickMark val="out"/>
        <c:minorTickMark val="none"/>
        <c:tickLblPos val="nextTo"/>
        <c:crossAx val="149281024"/>
        <c:crosses val="autoZero"/>
        <c:auto val="1"/>
        <c:lblAlgn val="ctr"/>
        <c:lblOffset val="100"/>
        <c:noMultiLvlLbl val="0"/>
      </c:catAx>
      <c:valAx>
        <c:axId val="149281024"/>
        <c:scaling>
          <c:orientation val="minMax"/>
        </c:scaling>
        <c:delete val="0"/>
        <c:axPos val="l"/>
        <c:majorGridlines/>
        <c:numFmt formatCode="0%" sourceLinked="1"/>
        <c:majorTickMark val="out"/>
        <c:minorTickMark val="none"/>
        <c:tickLblPos val="nextTo"/>
        <c:txPr>
          <a:bodyPr/>
          <a:lstStyle/>
          <a:p>
            <a:pPr>
              <a:defRPr sz="1000" baseline="0"/>
            </a:pPr>
            <a:endParaRPr lang="uk-UA"/>
          </a:p>
        </c:txPr>
        <c:crossAx val="149279488"/>
        <c:crosses val="autoZero"/>
        <c:crossBetween val="midCat"/>
      </c:valAx>
    </c:plotArea>
    <c:legend>
      <c:legendPos val="b"/>
      <c:overlay val="0"/>
      <c:txPr>
        <a:bodyPr/>
        <a:lstStyle/>
        <a:p>
          <a:pPr>
            <a:defRPr sz="1000" baseline="0"/>
          </a:pPr>
          <a:endParaRPr lang="uk-UA"/>
        </a:p>
      </c:txPr>
    </c:legend>
    <c:plotVisOnly val="1"/>
    <c:dispBlanksAs val="zero"/>
    <c:showDLblsOverMax val="0"/>
  </c:chart>
  <c:spPr>
    <a:solidFill>
      <a:schemeClr val="lt1"/>
    </a:solidFill>
    <a:ln w="25400" cap="flat" cmpd="sng" algn="ctr">
      <a:solidFill>
        <a:schemeClr val="dk1"/>
      </a:solidFill>
      <a:prstDash val="solid"/>
    </a:ln>
    <a:effectLst/>
  </c:spPr>
  <c:txPr>
    <a:bodyPr/>
    <a:lstStyle/>
    <a:p>
      <a:pPr>
        <a:defRPr sz="1200" baseline="0">
          <a:solidFill>
            <a:schemeClr val="dk1"/>
          </a:solidFill>
          <a:latin typeface="+mn-lt"/>
          <a:ea typeface="+mn-ea"/>
          <a:cs typeface="+mn-cs"/>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Лист2!$A$42:$A$51</c:f>
              <c:strCache>
                <c:ptCount val="10"/>
                <c:pt idx="0">
                  <c:v>США</c:v>
                </c:pt>
                <c:pt idx="1">
                  <c:v>Японія</c:v>
                </c:pt>
                <c:pt idx="2">
                  <c:v>Китай</c:v>
                </c:pt>
                <c:pt idx="3">
                  <c:v>Гонконг, Китай</c:v>
                </c:pt>
                <c:pt idx="4">
                  <c:v>Об’єднане Королівство</c:v>
                </c:pt>
                <c:pt idx="5">
                  <c:v>Німеччина </c:v>
                </c:pt>
                <c:pt idx="6">
                  <c:v>Канада</c:v>
                </c:pt>
                <c:pt idx="7">
                  <c:v>Російська Федерація</c:v>
                </c:pt>
                <c:pt idx="8">
                  <c:v>Швейцарія</c:v>
                </c:pt>
                <c:pt idx="9">
                  <c:v>Британські Віргінські о-ви</c:v>
                </c:pt>
              </c:strCache>
            </c:strRef>
          </c:cat>
          <c:val>
            <c:numRef>
              <c:f>Лист2!$B$42:$B$51</c:f>
              <c:numCache>
                <c:formatCode>General</c:formatCode>
                <c:ptCount val="10"/>
                <c:pt idx="0">
                  <c:v>329</c:v>
                </c:pt>
                <c:pt idx="1">
                  <c:v>123</c:v>
                </c:pt>
                <c:pt idx="2">
                  <c:v>84</c:v>
                </c:pt>
                <c:pt idx="3">
                  <c:v>84</c:v>
                </c:pt>
                <c:pt idx="4">
                  <c:v>71</c:v>
                </c:pt>
                <c:pt idx="5">
                  <c:v>67</c:v>
                </c:pt>
                <c:pt idx="6">
                  <c:v>54</c:v>
                </c:pt>
                <c:pt idx="7">
                  <c:v>51</c:v>
                </c:pt>
                <c:pt idx="8">
                  <c:v>44</c:v>
                </c:pt>
                <c:pt idx="9">
                  <c:v>42</c:v>
                </c:pt>
              </c:numCache>
            </c:numRef>
          </c:val>
        </c:ser>
        <c:dLbls>
          <c:showLegendKey val="0"/>
          <c:showVal val="0"/>
          <c:showCatName val="0"/>
          <c:showSerName val="0"/>
          <c:showPercent val="0"/>
          <c:showBubbleSize val="0"/>
        </c:dLbls>
        <c:gapWidth val="150"/>
        <c:shape val="cylinder"/>
        <c:axId val="149440768"/>
        <c:axId val="149446656"/>
        <c:axId val="0"/>
      </c:bar3DChart>
      <c:catAx>
        <c:axId val="149440768"/>
        <c:scaling>
          <c:orientation val="minMax"/>
        </c:scaling>
        <c:delete val="0"/>
        <c:axPos val="b"/>
        <c:majorTickMark val="out"/>
        <c:minorTickMark val="none"/>
        <c:tickLblPos val="nextTo"/>
        <c:crossAx val="149446656"/>
        <c:crosses val="autoZero"/>
        <c:auto val="1"/>
        <c:lblAlgn val="ctr"/>
        <c:lblOffset val="100"/>
        <c:noMultiLvlLbl val="0"/>
      </c:catAx>
      <c:valAx>
        <c:axId val="149446656"/>
        <c:scaling>
          <c:orientation val="minMax"/>
        </c:scaling>
        <c:delete val="0"/>
        <c:axPos val="l"/>
        <c:majorGridlines/>
        <c:numFmt formatCode="General" sourceLinked="1"/>
        <c:majorTickMark val="out"/>
        <c:minorTickMark val="none"/>
        <c:tickLblPos val="nextTo"/>
        <c:crossAx val="149440768"/>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sz="1200" baseline="0">
          <a:solidFill>
            <a:schemeClr val="dk1"/>
          </a:solidFill>
          <a:latin typeface="+mn-lt"/>
          <a:ea typeface="+mn-ea"/>
          <a:cs typeface="+mn-cs"/>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Лист2!$A$31:$A$40</c:f>
              <c:strCache>
                <c:ptCount val="10"/>
                <c:pt idx="0">
                  <c:v>США</c:v>
                </c:pt>
                <c:pt idx="1">
                  <c:v>Китай</c:v>
                </c:pt>
                <c:pt idx="2">
                  <c:v>Гонконг, Китай</c:v>
                </c:pt>
                <c:pt idx="3">
                  <c:v>Бразилія</c:v>
                </c:pt>
                <c:pt idx="4">
                  <c:v>Британські Віргінські о-ви</c:v>
                </c:pt>
                <c:pt idx="5">
                  <c:v>Об’єднане Королівство</c:v>
                </c:pt>
                <c:pt idx="6">
                  <c:v>Австралія</c:v>
                </c:pt>
                <c:pt idx="7">
                  <c:v>Сінгапур</c:v>
                </c:pt>
                <c:pt idx="8">
                  <c:v>Російська Федерація</c:v>
                </c:pt>
                <c:pt idx="9">
                  <c:v>Канада</c:v>
                </c:pt>
              </c:strCache>
            </c:strRef>
          </c:cat>
          <c:val>
            <c:numRef>
              <c:f>Лист2!$B$31:$B$40</c:f>
              <c:numCache>
                <c:formatCode>General</c:formatCode>
                <c:ptCount val="10"/>
                <c:pt idx="0">
                  <c:v>168</c:v>
                </c:pt>
                <c:pt idx="1">
                  <c:v>121</c:v>
                </c:pt>
                <c:pt idx="2">
                  <c:v>75</c:v>
                </c:pt>
                <c:pt idx="3">
                  <c:v>65</c:v>
                </c:pt>
                <c:pt idx="4">
                  <c:v>65</c:v>
                </c:pt>
                <c:pt idx="5">
                  <c:v>62</c:v>
                </c:pt>
                <c:pt idx="6">
                  <c:v>57</c:v>
                </c:pt>
                <c:pt idx="7">
                  <c:v>57</c:v>
                </c:pt>
                <c:pt idx="8">
                  <c:v>51</c:v>
                </c:pt>
                <c:pt idx="9">
                  <c:v>45</c:v>
                </c:pt>
              </c:numCache>
            </c:numRef>
          </c:val>
        </c:ser>
        <c:dLbls>
          <c:showLegendKey val="0"/>
          <c:showVal val="0"/>
          <c:showCatName val="0"/>
          <c:showSerName val="0"/>
          <c:showPercent val="0"/>
          <c:showBubbleSize val="0"/>
        </c:dLbls>
        <c:gapWidth val="150"/>
        <c:shape val="cone"/>
        <c:axId val="149467136"/>
        <c:axId val="149468672"/>
        <c:axId val="0"/>
      </c:bar3DChart>
      <c:catAx>
        <c:axId val="149467136"/>
        <c:scaling>
          <c:orientation val="minMax"/>
        </c:scaling>
        <c:delete val="0"/>
        <c:axPos val="l"/>
        <c:majorTickMark val="out"/>
        <c:minorTickMark val="none"/>
        <c:tickLblPos val="nextTo"/>
        <c:crossAx val="149468672"/>
        <c:crosses val="autoZero"/>
        <c:auto val="1"/>
        <c:lblAlgn val="ctr"/>
        <c:lblOffset val="100"/>
        <c:noMultiLvlLbl val="0"/>
      </c:catAx>
      <c:valAx>
        <c:axId val="149468672"/>
        <c:scaling>
          <c:orientation val="minMax"/>
        </c:scaling>
        <c:delete val="0"/>
        <c:axPos val="b"/>
        <c:majorGridlines/>
        <c:numFmt formatCode="General" sourceLinked="1"/>
        <c:majorTickMark val="out"/>
        <c:minorTickMark val="none"/>
        <c:tickLblPos val="nextTo"/>
        <c:crossAx val="149467136"/>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sz="1200" baseline="0">
          <a:solidFill>
            <a:schemeClr val="dk1"/>
          </a:solidFill>
          <a:latin typeface="+mn-lt"/>
          <a:ea typeface="+mn-ea"/>
          <a:cs typeface="+mn-cs"/>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dLbl>
              <c:idx val="0"/>
              <c:layout>
                <c:manualLayout>
                  <c:x val="3.6474153810942413E-2"/>
                  <c:y val="-2.2360118892423317E-3"/>
                </c:manualLayout>
              </c:layout>
              <c:showLegendKey val="0"/>
              <c:showVal val="1"/>
              <c:showCatName val="0"/>
              <c:showSerName val="0"/>
              <c:showPercent val="0"/>
              <c:showBubbleSize val="0"/>
            </c:dLbl>
            <c:dLbl>
              <c:idx val="1"/>
              <c:layout>
                <c:manualLayout>
                  <c:x val="4.2553191489361812E-2"/>
                  <c:y val="-5.156537753222841E-2"/>
                </c:manualLayout>
              </c:layout>
              <c:showLegendKey val="0"/>
              <c:showVal val="1"/>
              <c:showCatName val="0"/>
              <c:showSerName val="0"/>
              <c:showPercent val="0"/>
              <c:showBubbleSize val="0"/>
            </c:dLbl>
            <c:spPr>
              <a:solidFill>
                <a:schemeClr val="lt1"/>
              </a:solidFill>
              <a:ln w="6350" cap="flat" cmpd="sng" algn="ctr">
                <a:solidFill>
                  <a:schemeClr val="dk1"/>
                </a:solidFill>
                <a:prstDash val="solid"/>
              </a:ln>
              <a:effectLst/>
            </c:spPr>
            <c:txPr>
              <a:bodyPr/>
              <a:lstStyle/>
              <a:p>
                <a:pPr>
                  <a:defRPr>
                    <a:solidFill>
                      <a:schemeClr val="dk1"/>
                    </a:solidFill>
                    <a:latin typeface="+mn-lt"/>
                    <a:ea typeface="+mn-ea"/>
                    <a:cs typeface="+mn-cs"/>
                  </a:defRPr>
                </a:pPr>
                <a:endParaRPr lang="uk-UA"/>
              </a:p>
            </c:txPr>
            <c:showLegendKey val="0"/>
            <c:showVal val="1"/>
            <c:showCatName val="0"/>
            <c:showSerName val="0"/>
            <c:showPercent val="0"/>
            <c:showBubbleSize val="0"/>
            <c:showLeaderLines val="0"/>
          </c:dLbls>
          <c:cat>
            <c:strRef>
              <c:f>Лист1!$A$2:$A$3</c:f>
              <c:strCache>
                <c:ptCount val="2"/>
                <c:pt idx="0">
                  <c:v>СФС (спеціалізовані фінансові структури) </c:v>
                </c:pt>
                <c:pt idx="1">
                  <c:v>ОФЦ (офшорні фінансові центри) </c:v>
                </c:pt>
              </c:strCache>
            </c:strRef>
          </c:cat>
          <c:val>
            <c:numRef>
              <c:f>Лист1!$B$2:$B$3</c:f>
              <c:numCache>
                <c:formatCode>General</c:formatCode>
                <c:ptCount val="2"/>
                <c:pt idx="0">
                  <c:v>600</c:v>
                </c:pt>
                <c:pt idx="1">
                  <c:v>90</c:v>
                </c:pt>
              </c:numCache>
            </c:numRef>
          </c:val>
        </c:ser>
        <c:dLbls>
          <c:showLegendKey val="0"/>
          <c:showVal val="0"/>
          <c:showCatName val="0"/>
          <c:showSerName val="0"/>
          <c:showPercent val="0"/>
          <c:showBubbleSize val="0"/>
        </c:dLbls>
        <c:gapWidth val="150"/>
        <c:shape val="box"/>
        <c:axId val="149476864"/>
        <c:axId val="149478400"/>
        <c:axId val="0"/>
      </c:bar3DChart>
      <c:catAx>
        <c:axId val="149476864"/>
        <c:scaling>
          <c:orientation val="minMax"/>
        </c:scaling>
        <c:delete val="0"/>
        <c:axPos val="l"/>
        <c:majorTickMark val="out"/>
        <c:minorTickMark val="none"/>
        <c:tickLblPos val="nextTo"/>
        <c:crossAx val="149478400"/>
        <c:crosses val="autoZero"/>
        <c:auto val="1"/>
        <c:lblAlgn val="ctr"/>
        <c:lblOffset val="100"/>
        <c:noMultiLvlLbl val="0"/>
      </c:catAx>
      <c:valAx>
        <c:axId val="149478400"/>
        <c:scaling>
          <c:orientation val="minMax"/>
        </c:scaling>
        <c:delete val="0"/>
        <c:axPos val="b"/>
        <c:majorGridlines>
          <c:spPr>
            <a:ln>
              <a:solidFill>
                <a:schemeClr val="bg1"/>
              </a:solidFill>
            </a:ln>
          </c:spPr>
        </c:majorGridlines>
        <c:numFmt formatCode="General" sourceLinked="1"/>
        <c:majorTickMark val="out"/>
        <c:minorTickMark val="none"/>
        <c:tickLblPos val="nextTo"/>
        <c:crossAx val="149476864"/>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sz="1200" baseline="0">
          <a:solidFill>
            <a:schemeClr val="dk1"/>
          </a:solidFill>
          <a:latin typeface="+mn-lt"/>
          <a:ea typeface="+mn-ea"/>
          <a:cs typeface="+mn-cs"/>
        </a:defRPr>
      </a:pPr>
      <a:endParaRPr lang="uk-UA"/>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0.66702</cdr:x>
      <cdr:y>0.26174</cdr:y>
    </cdr:from>
    <cdr:to>
      <cdr:x>0.96938</cdr:x>
      <cdr:y>0.27569</cdr:y>
    </cdr:to>
    <cdr:sp macro="" textlink="">
      <cdr:nvSpPr>
        <cdr:cNvPr id="5" name="Прямая соединительная линия 4"/>
        <cdr:cNvSpPr/>
      </cdr:nvSpPr>
      <cdr:spPr>
        <a:xfrm xmlns:a="http://schemas.openxmlformats.org/drawingml/2006/main">
          <a:off x="3962400" y="990601"/>
          <a:ext cx="1796129" cy="52812"/>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0.96878</cdr:x>
      <cdr:y>0.27373</cdr:y>
    </cdr:from>
    <cdr:to>
      <cdr:x>0.97553</cdr:x>
      <cdr:y>0.64238</cdr:y>
    </cdr:to>
    <cdr:sp macro="" textlink="">
      <cdr:nvSpPr>
        <cdr:cNvPr id="7" name="Прямая со стрелкой 6"/>
        <cdr:cNvSpPr/>
      </cdr:nvSpPr>
      <cdr:spPr>
        <a:xfrm xmlns:a="http://schemas.openxmlformats.org/drawingml/2006/main">
          <a:off x="6560815" y="1181099"/>
          <a:ext cx="45719" cy="1590675"/>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15512</Words>
  <Characters>8842</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Olena</cp:lastModifiedBy>
  <cp:revision>2</cp:revision>
  <dcterms:created xsi:type="dcterms:W3CDTF">2017-03-07T09:34:00Z</dcterms:created>
  <dcterms:modified xsi:type="dcterms:W3CDTF">2017-03-07T09:34:00Z</dcterms:modified>
</cp:coreProperties>
</file>