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A28" w:rsidRPr="004937BC" w:rsidRDefault="00703A28" w:rsidP="00703A28">
      <w:pPr>
        <w:spacing w:line="360" w:lineRule="auto"/>
        <w:jc w:val="center"/>
        <w:rPr>
          <w:sz w:val="28"/>
          <w:szCs w:val="28"/>
          <w:lang w:val="uk-UA"/>
        </w:rPr>
      </w:pPr>
      <w:bookmarkStart w:id="0" w:name="_GoBack"/>
      <w:bookmarkEnd w:id="0"/>
    </w:p>
    <w:p w:rsidR="00E258CC" w:rsidRDefault="00E258CC" w:rsidP="00E258CC">
      <w:pPr>
        <w:spacing w:line="360" w:lineRule="auto"/>
        <w:rPr>
          <w:b/>
          <w:sz w:val="28"/>
          <w:szCs w:val="28"/>
          <w:lang w:val="uk-UA"/>
        </w:rPr>
      </w:pPr>
      <w:r>
        <w:rPr>
          <w:b/>
          <w:sz w:val="28"/>
          <w:szCs w:val="28"/>
          <w:lang w:val="uk-UA"/>
        </w:rPr>
        <w:t>УДК 339.9(043.2)</w:t>
      </w:r>
    </w:p>
    <w:p w:rsidR="00703A28" w:rsidRPr="00E258CC" w:rsidRDefault="00E258CC" w:rsidP="00E258CC">
      <w:pPr>
        <w:spacing w:line="360" w:lineRule="auto"/>
        <w:jc w:val="right"/>
        <w:rPr>
          <w:b/>
          <w:sz w:val="28"/>
          <w:szCs w:val="28"/>
          <w:lang w:val="uk-UA"/>
        </w:rPr>
      </w:pPr>
      <w:proofErr w:type="spellStart"/>
      <w:r w:rsidRPr="00E258CC">
        <w:rPr>
          <w:b/>
          <w:sz w:val="28"/>
          <w:szCs w:val="28"/>
          <w:lang w:val="uk-UA"/>
        </w:rPr>
        <w:t>Ричка</w:t>
      </w:r>
      <w:proofErr w:type="spellEnd"/>
      <w:r w:rsidRPr="00E258CC">
        <w:rPr>
          <w:b/>
          <w:sz w:val="28"/>
          <w:szCs w:val="28"/>
          <w:lang w:val="uk-UA"/>
        </w:rPr>
        <w:t xml:space="preserve">  М.А.,</w:t>
      </w:r>
    </w:p>
    <w:p w:rsidR="00E258CC" w:rsidRPr="00AE6C82" w:rsidRDefault="00E258CC" w:rsidP="00E258CC">
      <w:pPr>
        <w:pStyle w:val="a3"/>
        <w:jc w:val="right"/>
        <w:rPr>
          <w:i/>
          <w:sz w:val="28"/>
          <w:szCs w:val="28"/>
          <w:lang w:val="uk-UA"/>
        </w:rPr>
      </w:pPr>
      <w:proofErr w:type="spellStart"/>
      <w:r>
        <w:rPr>
          <w:i/>
          <w:sz w:val="28"/>
          <w:szCs w:val="28"/>
          <w:lang w:val="uk-UA"/>
        </w:rPr>
        <w:t>к.е</w:t>
      </w:r>
      <w:r w:rsidRPr="00AE6C82">
        <w:rPr>
          <w:i/>
          <w:sz w:val="28"/>
          <w:szCs w:val="28"/>
          <w:lang w:val="uk-UA"/>
        </w:rPr>
        <w:t>.н</w:t>
      </w:r>
      <w:proofErr w:type="spellEnd"/>
      <w:r w:rsidRPr="00AE6C82">
        <w:rPr>
          <w:i/>
          <w:sz w:val="28"/>
          <w:szCs w:val="28"/>
          <w:lang w:val="uk-UA"/>
        </w:rPr>
        <w:t>.,</w:t>
      </w:r>
      <w:r w:rsidRPr="00AE6C82">
        <w:rPr>
          <w:b/>
          <w:i/>
          <w:sz w:val="28"/>
          <w:szCs w:val="28"/>
          <w:lang w:val="uk-UA"/>
        </w:rPr>
        <w:t xml:space="preserve"> </w:t>
      </w:r>
      <w:r w:rsidRPr="00AE6C82">
        <w:rPr>
          <w:i/>
          <w:sz w:val="28"/>
          <w:szCs w:val="28"/>
          <w:lang w:val="uk-UA"/>
        </w:rPr>
        <w:t xml:space="preserve">доцент, </w:t>
      </w:r>
      <w:proofErr w:type="spellStart"/>
      <w:r w:rsidRPr="00AE6C82">
        <w:rPr>
          <w:i/>
          <w:sz w:val="28"/>
          <w:szCs w:val="28"/>
          <w:lang w:val="uk-UA"/>
        </w:rPr>
        <w:t>доцент</w:t>
      </w:r>
      <w:proofErr w:type="spellEnd"/>
      <w:r w:rsidRPr="00AE6C82">
        <w:rPr>
          <w:i/>
          <w:sz w:val="28"/>
          <w:szCs w:val="28"/>
          <w:lang w:val="uk-UA"/>
        </w:rPr>
        <w:t xml:space="preserve"> кафедри </w:t>
      </w:r>
    </w:p>
    <w:p w:rsidR="00E258CC" w:rsidRPr="00AE6C82" w:rsidRDefault="00E258CC" w:rsidP="00E258CC">
      <w:pPr>
        <w:pStyle w:val="a3"/>
        <w:jc w:val="right"/>
        <w:rPr>
          <w:i/>
          <w:sz w:val="28"/>
          <w:szCs w:val="28"/>
          <w:lang w:val="uk-UA"/>
        </w:rPr>
      </w:pPr>
      <w:r w:rsidRPr="00AE6C82">
        <w:rPr>
          <w:i/>
          <w:sz w:val="28"/>
          <w:szCs w:val="28"/>
          <w:lang w:val="uk-UA"/>
        </w:rPr>
        <w:t>міжнародних економічних відносин і бізнесу</w:t>
      </w:r>
    </w:p>
    <w:p w:rsidR="00E258CC" w:rsidRDefault="00E258CC" w:rsidP="00E258CC">
      <w:pPr>
        <w:ind w:firstLine="567"/>
        <w:jc w:val="right"/>
        <w:rPr>
          <w:i/>
          <w:sz w:val="28"/>
          <w:szCs w:val="28"/>
        </w:rPr>
      </w:pPr>
      <w:proofErr w:type="spellStart"/>
      <w:r w:rsidRPr="00E47C20">
        <w:rPr>
          <w:i/>
          <w:sz w:val="28"/>
        </w:rPr>
        <w:t>Навчально-наукового</w:t>
      </w:r>
      <w:proofErr w:type="spellEnd"/>
      <w:r w:rsidRPr="00E47C20">
        <w:rPr>
          <w:i/>
          <w:sz w:val="28"/>
        </w:rPr>
        <w:t xml:space="preserve">  </w:t>
      </w:r>
      <w:proofErr w:type="spellStart"/>
      <w:r>
        <w:rPr>
          <w:i/>
          <w:sz w:val="28"/>
          <w:szCs w:val="28"/>
        </w:rPr>
        <w:t>і</w:t>
      </w:r>
      <w:r w:rsidRPr="009A46B5">
        <w:rPr>
          <w:i/>
          <w:sz w:val="28"/>
          <w:szCs w:val="28"/>
        </w:rPr>
        <w:t>нститут</w:t>
      </w:r>
      <w:r>
        <w:rPr>
          <w:i/>
          <w:sz w:val="28"/>
          <w:szCs w:val="28"/>
        </w:rPr>
        <w:t>у</w:t>
      </w:r>
      <w:proofErr w:type="spellEnd"/>
      <w:r>
        <w:rPr>
          <w:i/>
          <w:sz w:val="28"/>
          <w:szCs w:val="28"/>
        </w:rPr>
        <w:t xml:space="preserve"> </w:t>
      </w:r>
      <w:proofErr w:type="spellStart"/>
      <w:r>
        <w:rPr>
          <w:i/>
          <w:sz w:val="28"/>
          <w:szCs w:val="28"/>
        </w:rPr>
        <w:t>М</w:t>
      </w:r>
      <w:r w:rsidRPr="009A46B5">
        <w:rPr>
          <w:i/>
          <w:sz w:val="28"/>
          <w:szCs w:val="28"/>
        </w:rPr>
        <w:t>іжнародних</w:t>
      </w:r>
      <w:proofErr w:type="spellEnd"/>
      <w:r w:rsidRPr="009A46B5">
        <w:rPr>
          <w:i/>
          <w:sz w:val="28"/>
          <w:szCs w:val="28"/>
        </w:rPr>
        <w:t xml:space="preserve"> </w:t>
      </w:r>
      <w:proofErr w:type="spellStart"/>
      <w:r w:rsidRPr="009A46B5">
        <w:rPr>
          <w:i/>
          <w:sz w:val="28"/>
          <w:szCs w:val="28"/>
        </w:rPr>
        <w:t>відносин</w:t>
      </w:r>
      <w:proofErr w:type="spellEnd"/>
    </w:p>
    <w:p w:rsidR="00E258CC" w:rsidRPr="00CD71EA" w:rsidRDefault="00E258CC" w:rsidP="00E258CC">
      <w:pPr>
        <w:ind w:firstLine="567"/>
        <w:jc w:val="right"/>
        <w:rPr>
          <w:sz w:val="28"/>
          <w:szCs w:val="28"/>
        </w:rPr>
      </w:pPr>
      <w:proofErr w:type="spellStart"/>
      <w:r>
        <w:rPr>
          <w:i/>
          <w:sz w:val="28"/>
          <w:szCs w:val="28"/>
        </w:rPr>
        <w:t>Національного</w:t>
      </w:r>
      <w:proofErr w:type="spellEnd"/>
      <w:r>
        <w:rPr>
          <w:i/>
          <w:sz w:val="28"/>
          <w:szCs w:val="28"/>
        </w:rPr>
        <w:t xml:space="preserve"> </w:t>
      </w:r>
      <w:proofErr w:type="spellStart"/>
      <w:r>
        <w:rPr>
          <w:i/>
          <w:sz w:val="28"/>
          <w:szCs w:val="28"/>
        </w:rPr>
        <w:t>авіаційного</w:t>
      </w:r>
      <w:proofErr w:type="spellEnd"/>
      <w:r>
        <w:rPr>
          <w:i/>
          <w:sz w:val="28"/>
          <w:szCs w:val="28"/>
        </w:rPr>
        <w:t xml:space="preserve"> </w:t>
      </w:r>
      <w:proofErr w:type="spellStart"/>
      <w:r>
        <w:rPr>
          <w:i/>
          <w:sz w:val="28"/>
          <w:szCs w:val="28"/>
        </w:rPr>
        <w:t>університету</w:t>
      </w:r>
      <w:proofErr w:type="spellEnd"/>
    </w:p>
    <w:p w:rsidR="00E258CC" w:rsidRDefault="00E258CC" w:rsidP="00703A28">
      <w:pPr>
        <w:spacing w:line="360" w:lineRule="auto"/>
        <w:ind w:firstLine="709"/>
        <w:jc w:val="both"/>
        <w:rPr>
          <w:spacing w:val="8"/>
          <w:sz w:val="28"/>
          <w:szCs w:val="28"/>
          <w:lang w:val="uk-UA"/>
        </w:rPr>
      </w:pPr>
    </w:p>
    <w:p w:rsidR="00E258CC" w:rsidRPr="004937BC" w:rsidRDefault="00E258CC" w:rsidP="00E258CC">
      <w:pPr>
        <w:spacing w:line="360" w:lineRule="auto"/>
        <w:ind w:firstLine="709"/>
        <w:jc w:val="center"/>
        <w:outlineLvl w:val="0"/>
        <w:rPr>
          <w:b/>
          <w:sz w:val="28"/>
          <w:szCs w:val="28"/>
          <w:lang w:val="uk-UA"/>
        </w:rPr>
      </w:pPr>
      <w:r>
        <w:rPr>
          <w:b/>
          <w:sz w:val="28"/>
          <w:szCs w:val="28"/>
          <w:lang w:val="uk-UA"/>
        </w:rPr>
        <w:t>Р</w:t>
      </w:r>
      <w:r w:rsidRPr="004937BC">
        <w:rPr>
          <w:b/>
          <w:sz w:val="28"/>
          <w:szCs w:val="28"/>
          <w:lang w:val="uk-UA"/>
        </w:rPr>
        <w:t>ОЗВИТКУ ФОНДОВИХ РИНКІВ</w:t>
      </w:r>
    </w:p>
    <w:p w:rsidR="00E258CC" w:rsidRDefault="00E258CC" w:rsidP="00703A28">
      <w:pPr>
        <w:spacing w:line="360" w:lineRule="auto"/>
        <w:ind w:firstLine="709"/>
        <w:jc w:val="both"/>
        <w:rPr>
          <w:spacing w:val="8"/>
          <w:sz w:val="28"/>
          <w:szCs w:val="28"/>
          <w:lang w:val="uk-UA"/>
        </w:rPr>
      </w:pPr>
    </w:p>
    <w:p w:rsidR="00703A28" w:rsidRPr="00A429DC" w:rsidRDefault="00703A28" w:rsidP="00703A28">
      <w:pPr>
        <w:spacing w:line="360" w:lineRule="auto"/>
        <w:ind w:firstLine="709"/>
        <w:jc w:val="both"/>
        <w:rPr>
          <w:spacing w:val="8"/>
          <w:lang w:val="uk-UA"/>
        </w:rPr>
      </w:pPr>
      <w:r>
        <w:rPr>
          <w:spacing w:val="8"/>
          <w:sz w:val="28"/>
          <w:szCs w:val="28"/>
          <w:lang w:val="uk-UA"/>
        </w:rPr>
        <w:t>Ф</w:t>
      </w:r>
      <w:r w:rsidRPr="00A429DC">
        <w:rPr>
          <w:spacing w:val="8"/>
          <w:sz w:val="28"/>
          <w:szCs w:val="28"/>
          <w:lang w:val="uk-UA"/>
        </w:rPr>
        <w:t>інансова глобалізація – це явище складне та суперечливе, для якого властиве незворотне та об’єктивне прискорення. Національні фондові ринки перебувають у найбільш вразливому становищі з позиції їхньої неза</w:t>
      </w:r>
      <w:r w:rsidRPr="00A429DC">
        <w:rPr>
          <w:spacing w:val="8"/>
          <w:sz w:val="28"/>
          <w:szCs w:val="28"/>
          <w:lang w:val="uk-UA"/>
        </w:rPr>
        <w:softHyphen/>
        <w:t xml:space="preserve">лежності від фінансової експансії та стабільності. Особливо це стосується країн із перехідними економіками, передусім країн Європи, що розвиваються, до яких належить і Україна. </w:t>
      </w:r>
      <w:r w:rsidR="00F71634">
        <w:rPr>
          <w:spacing w:val="10"/>
          <w:sz w:val="28"/>
          <w:szCs w:val="28"/>
          <w:lang w:val="uk-UA"/>
        </w:rPr>
        <w:t>[1</w:t>
      </w:r>
      <w:r w:rsidRPr="00A429DC">
        <w:rPr>
          <w:spacing w:val="10"/>
          <w:sz w:val="28"/>
          <w:szCs w:val="28"/>
          <w:lang w:val="uk-UA"/>
        </w:rPr>
        <w:t>, С. 90–96].</w:t>
      </w:r>
      <w:r w:rsidRPr="00A429DC">
        <w:rPr>
          <w:spacing w:val="10"/>
          <w:lang w:val="uk-UA"/>
        </w:rPr>
        <w:t xml:space="preserve"> </w:t>
      </w:r>
    </w:p>
    <w:p w:rsidR="00703A28" w:rsidRPr="006B7843" w:rsidRDefault="00703A28" w:rsidP="00703A28">
      <w:pPr>
        <w:spacing w:line="360" w:lineRule="auto"/>
        <w:ind w:firstLine="709"/>
        <w:jc w:val="both"/>
        <w:rPr>
          <w:spacing w:val="4"/>
          <w:sz w:val="28"/>
          <w:szCs w:val="28"/>
          <w:lang w:val="uk-UA"/>
        </w:rPr>
      </w:pPr>
      <w:r w:rsidRPr="006B7843">
        <w:rPr>
          <w:spacing w:val="4"/>
          <w:sz w:val="28"/>
          <w:szCs w:val="28"/>
          <w:lang w:val="uk-UA"/>
        </w:rPr>
        <w:t>В Україні лістинг поки що відчутно не впливає на оцінку якості цінних паперів як для інвестора, так і для емітента. Розвиток процесу лістингу на вітчизняному фондовому ринку загалом відповідає світовій практиці. Таким чином, на трьох найбільших біржах України встановлені критерії якості – кількість акцій в обігу і термін, а на двох із них – мінімальний розмір статутного капіталу. Водночас існує певна розпорошеність показників за якісними і кількісними критеріями лістингу. Відмінність процедури лістингу на вітчизняних фондових біржах від розвинених країн полягає в тому, що критерії лістингу розвинутих країн є уніфікованими, а в нас вони не однакові. На прикладі Німеччини можна пересвідчитися, що там існує вісім фондових бірж й емітенту німецьких цінних паперів (національних), й достатньо здійснити процедуру лістингу на одній із бірж, і акції зможуть котир</w:t>
      </w:r>
      <w:r w:rsidR="00F6042B">
        <w:rPr>
          <w:spacing w:val="4"/>
          <w:sz w:val="28"/>
          <w:szCs w:val="28"/>
          <w:lang w:val="uk-UA"/>
        </w:rPr>
        <w:t>уватися на інших семи біржах</w:t>
      </w:r>
      <w:r w:rsidRPr="006B7843">
        <w:rPr>
          <w:spacing w:val="4"/>
          <w:sz w:val="28"/>
          <w:szCs w:val="28"/>
          <w:lang w:val="uk-UA"/>
        </w:rPr>
        <w:t xml:space="preserve">. </w:t>
      </w:r>
    </w:p>
    <w:p w:rsidR="00703A28" w:rsidRPr="006B7843" w:rsidRDefault="00703A28" w:rsidP="00703A28">
      <w:pPr>
        <w:spacing w:line="360" w:lineRule="auto"/>
        <w:ind w:firstLine="709"/>
        <w:jc w:val="both"/>
        <w:rPr>
          <w:spacing w:val="4"/>
          <w:sz w:val="28"/>
          <w:szCs w:val="28"/>
          <w:lang w:val="uk-UA"/>
        </w:rPr>
      </w:pPr>
      <w:r w:rsidRPr="006B7843">
        <w:rPr>
          <w:spacing w:val="4"/>
          <w:sz w:val="28"/>
          <w:szCs w:val="28"/>
          <w:lang w:val="uk-UA"/>
        </w:rPr>
        <w:t xml:space="preserve">Проведення процедури лістингу для допуску цінних паперів до офіційних торгів та котирувань містяться в Директиві 2001/34/ЄС Європейського парламенту та Ради від 28.05.01 р. Ради Європи про допуск цінних паперів до лістингу на фондовій біржі та інформації про них. У Директиві закріплено правило, що цінні папери, які не відповідають встановленим Декларацією стандартам, не допускаються до лістингу. Компетентні органи держав-членів ЄС можуть надати дозвіл на допуск цінних паперів </w:t>
      </w:r>
      <w:r w:rsidRPr="006B7843">
        <w:rPr>
          <w:spacing w:val="4"/>
          <w:sz w:val="28"/>
          <w:szCs w:val="28"/>
          <w:lang w:val="uk-UA"/>
        </w:rPr>
        <w:lastRenderedPageBreak/>
        <w:t>до лістингу на фондових біржах, які розміщено на їхній території. Законодавство України встановлює процедуру лістингу. Однак у більшості нормативних актів подано лише декларативні норми, що вказують на необхідність «розвитку, сприянн</w:t>
      </w:r>
      <w:r w:rsidR="00F6042B">
        <w:rPr>
          <w:spacing w:val="4"/>
          <w:sz w:val="28"/>
          <w:szCs w:val="28"/>
          <w:lang w:val="uk-UA"/>
        </w:rPr>
        <w:t>я та впровадження лістингу» [2</w:t>
      </w:r>
      <w:r w:rsidRPr="006B7843">
        <w:rPr>
          <w:spacing w:val="4"/>
          <w:sz w:val="28"/>
          <w:szCs w:val="28"/>
          <w:lang w:val="uk-UA"/>
        </w:rPr>
        <w:t>]. Порядок лістингу цінних паперів безпосередньо визначає фондова біржа, а законодавство встановлює вимоги тільки до офіційного лістингу на біржі. Процедура лістингу, зокрема на УФБ, визначається та закріплюється Положенням про допуск у Договорі про підтримання лістингу між емітентом та фондовою біржею. Відповідно до цього Положення, лише державні цінні папери можна включити до біржового реєстру без проведення експертної оцінки (на основі офіційних умов їхнього випуску). У цьому випадку гарантом та</w:t>
      </w:r>
      <w:r w:rsidR="00F6042B">
        <w:rPr>
          <w:spacing w:val="4"/>
          <w:sz w:val="28"/>
          <w:szCs w:val="28"/>
          <w:lang w:val="uk-UA"/>
        </w:rPr>
        <w:t>ких цінних паперів є держава</w:t>
      </w:r>
      <w:r w:rsidRPr="006B7843">
        <w:rPr>
          <w:spacing w:val="4"/>
          <w:sz w:val="28"/>
          <w:szCs w:val="28"/>
          <w:lang w:val="uk-UA"/>
        </w:rPr>
        <w:t xml:space="preserve">. </w:t>
      </w:r>
    </w:p>
    <w:p w:rsidR="00703A28" w:rsidRPr="006B7843" w:rsidRDefault="00703A28" w:rsidP="00703A28">
      <w:pPr>
        <w:spacing w:line="360" w:lineRule="auto"/>
        <w:ind w:firstLine="709"/>
        <w:jc w:val="both"/>
        <w:rPr>
          <w:spacing w:val="4"/>
          <w:sz w:val="28"/>
          <w:szCs w:val="28"/>
          <w:lang w:val="uk-UA"/>
        </w:rPr>
      </w:pPr>
      <w:r w:rsidRPr="006B7843">
        <w:rPr>
          <w:spacing w:val="4"/>
          <w:sz w:val="28"/>
          <w:szCs w:val="28"/>
          <w:lang w:val="uk-UA"/>
        </w:rPr>
        <w:t xml:space="preserve">На Українській фондовій біржі дозволяють торгувати цінними паперами, які відповідають вимогам чинного законодавства України, зареєстровані у Міністерстві фінансів України </w:t>
      </w:r>
      <w:r w:rsidR="00F6042B">
        <w:rPr>
          <w:spacing w:val="4"/>
          <w:sz w:val="28"/>
          <w:szCs w:val="28"/>
          <w:lang w:val="uk-UA"/>
        </w:rPr>
        <w:t>та внесені до біржового реєстру</w:t>
      </w:r>
      <w:r w:rsidRPr="006B7843">
        <w:rPr>
          <w:spacing w:val="4"/>
          <w:sz w:val="28"/>
          <w:szCs w:val="28"/>
          <w:lang w:val="uk-UA"/>
        </w:rPr>
        <w:t xml:space="preserve"> </w:t>
      </w:r>
      <w:r w:rsidR="00F6042B">
        <w:rPr>
          <w:spacing w:val="4"/>
          <w:sz w:val="28"/>
          <w:szCs w:val="28"/>
          <w:lang w:val="uk-UA"/>
        </w:rPr>
        <w:t>[3</w:t>
      </w:r>
      <w:r w:rsidRPr="006B7843">
        <w:rPr>
          <w:spacing w:val="4"/>
          <w:sz w:val="28"/>
          <w:szCs w:val="28"/>
          <w:lang w:val="uk-UA"/>
        </w:rPr>
        <w:t xml:space="preserve">]. На Українській фондовій біржі офіційне котирування здійснюється трьома котирувальними відділеннями – двома відділеннями (К-1 і К-2) офіційного котирування та одним відділенням (К-3) </w:t>
      </w:r>
      <w:proofErr w:type="spellStart"/>
      <w:r w:rsidRPr="006B7843">
        <w:rPr>
          <w:spacing w:val="4"/>
          <w:sz w:val="28"/>
          <w:szCs w:val="28"/>
          <w:lang w:val="uk-UA"/>
        </w:rPr>
        <w:t>позаофіційного</w:t>
      </w:r>
      <w:proofErr w:type="spellEnd"/>
      <w:r w:rsidRPr="006B7843">
        <w:rPr>
          <w:spacing w:val="4"/>
          <w:sz w:val="28"/>
          <w:szCs w:val="28"/>
          <w:lang w:val="uk-UA"/>
        </w:rPr>
        <w:t xml:space="preserve"> котирування (вільний ринок). </w:t>
      </w:r>
    </w:p>
    <w:p w:rsidR="00703A28" w:rsidRPr="006B7843" w:rsidRDefault="00703A28" w:rsidP="00703A28">
      <w:pPr>
        <w:spacing w:line="360" w:lineRule="auto"/>
        <w:ind w:firstLine="709"/>
        <w:jc w:val="both"/>
        <w:rPr>
          <w:spacing w:val="4"/>
          <w:sz w:val="28"/>
          <w:szCs w:val="28"/>
          <w:lang w:val="uk-UA"/>
        </w:rPr>
      </w:pPr>
      <w:r w:rsidRPr="006B7843">
        <w:rPr>
          <w:spacing w:val="4"/>
          <w:sz w:val="28"/>
          <w:szCs w:val="28"/>
          <w:lang w:val="uk-UA"/>
        </w:rPr>
        <w:t xml:space="preserve">Фондові біржі можуть формуватися за двома принципами – як приватні акціонерні товариства (Великобританія, Японія, Австрія) або як публічно-правові інститути (Німеччина, Франція). Наприклад, у  Франції фондові біржі є урядовими установами, підпорядкованими міністерству фінансів. Для порівняння у США біржі є асоціаціями, а отже, уряд не може контролювати їхню діяльність. Особливий вид регулювання діяльності організованого фондового ринку використовують у Швеції, де біржі є акціонерними підприємствами, у яких 50 % акцій належать уряду. </w:t>
      </w:r>
    </w:p>
    <w:p w:rsidR="00703A28" w:rsidRPr="006B7843" w:rsidRDefault="00703A28" w:rsidP="00703A28">
      <w:pPr>
        <w:spacing w:line="360" w:lineRule="auto"/>
        <w:ind w:firstLine="709"/>
        <w:jc w:val="both"/>
        <w:rPr>
          <w:spacing w:val="4"/>
          <w:sz w:val="28"/>
          <w:szCs w:val="28"/>
          <w:lang w:val="uk-UA"/>
        </w:rPr>
      </w:pPr>
      <w:r w:rsidRPr="006B7843">
        <w:rPr>
          <w:spacing w:val="4"/>
          <w:sz w:val="28"/>
          <w:szCs w:val="28"/>
          <w:lang w:val="uk-UA"/>
        </w:rPr>
        <w:t xml:space="preserve">У кожній із вищезгаданих країн існує певна національна система бірж із характерними для неї особливостями, які історично склалися й визначають функціонування біржової системи в цілому, а також місце конкретної біржі в ній. Відповідно до функцій, які виконують біржові системи країні, виокремлюють моноцентричні та поліцентричні системи. Для моноцентричної національної системи бірж характерне домінування однієї біржі, яка розташована в головному фінансовому центрі країни, а решта бірж має місцеве значення (Англія, Японія, Франція). Таким чином, у Франції обороти другорядних бірж мінімально перевищує 1 % валових </w:t>
      </w:r>
      <w:r w:rsidRPr="006B7843">
        <w:rPr>
          <w:spacing w:val="4"/>
          <w:sz w:val="28"/>
          <w:szCs w:val="28"/>
          <w:lang w:val="uk-UA"/>
        </w:rPr>
        <w:lastRenderedPageBreak/>
        <w:t xml:space="preserve">оборотів біржової системи. Крім того, при моноцентричній системі іноземні фондові цінності котируються тільки на одній провідній біржі. Так, на Французьких біржах заборонено котирування паперів, представлених на Паризькій біржі. </w:t>
      </w:r>
    </w:p>
    <w:p w:rsidR="00703A28" w:rsidRPr="00541A3A" w:rsidRDefault="00703A28" w:rsidP="00703A28">
      <w:pPr>
        <w:spacing w:line="360" w:lineRule="auto"/>
        <w:ind w:firstLine="709"/>
        <w:jc w:val="both"/>
        <w:rPr>
          <w:spacing w:val="6"/>
          <w:sz w:val="28"/>
          <w:szCs w:val="28"/>
          <w:lang w:val="uk-UA"/>
        </w:rPr>
      </w:pPr>
      <w:r w:rsidRPr="00541A3A">
        <w:rPr>
          <w:spacing w:val="6"/>
          <w:sz w:val="28"/>
          <w:szCs w:val="28"/>
          <w:lang w:val="uk-UA"/>
        </w:rPr>
        <w:t xml:space="preserve">При поліцентричній системі в країні функціонує паралельно з провідною біржею ще одна або декілька інших великих бірж (Німеччина, Австрія, Канада), й іноземні цінні папери котируються на декількох біржах. Наприклад, у Швейцарії акції ряду іноземних компаній одночасно котируються на біржах Базеля, </w:t>
      </w:r>
      <w:proofErr w:type="spellStart"/>
      <w:r w:rsidRPr="00541A3A">
        <w:rPr>
          <w:spacing w:val="6"/>
          <w:sz w:val="28"/>
          <w:szCs w:val="28"/>
          <w:lang w:val="uk-UA"/>
        </w:rPr>
        <w:t>Цюриха</w:t>
      </w:r>
      <w:proofErr w:type="spellEnd"/>
      <w:r w:rsidRPr="00541A3A">
        <w:rPr>
          <w:spacing w:val="6"/>
          <w:sz w:val="28"/>
          <w:szCs w:val="28"/>
          <w:lang w:val="uk-UA"/>
        </w:rPr>
        <w:t xml:space="preserve">, Женеви, Лозанни. У Німеччині центрами котирування іноземних паперів є біржі Франкфурта-на-Майні, </w:t>
      </w:r>
      <w:proofErr w:type="spellStart"/>
      <w:r w:rsidRPr="00541A3A">
        <w:rPr>
          <w:spacing w:val="6"/>
          <w:sz w:val="28"/>
          <w:szCs w:val="28"/>
          <w:lang w:val="uk-UA"/>
        </w:rPr>
        <w:t>Дюсельдорфа</w:t>
      </w:r>
      <w:proofErr w:type="spellEnd"/>
      <w:r w:rsidRPr="00541A3A">
        <w:rPr>
          <w:spacing w:val="6"/>
          <w:sz w:val="28"/>
          <w:szCs w:val="28"/>
          <w:lang w:val="uk-UA"/>
        </w:rPr>
        <w:t>, Мюнхена, Гамбурга. США за цією класифікацією можна зарахувати до змішаної системи, оскільки не зважаючи на лідерство Нью-Йоркської фондової біржі решту бірж країни зберігають досить міцні позиції [</w:t>
      </w:r>
      <w:r w:rsidR="00F6042B">
        <w:rPr>
          <w:spacing w:val="6"/>
          <w:sz w:val="28"/>
          <w:szCs w:val="28"/>
          <w:lang w:val="uk-UA"/>
        </w:rPr>
        <w:t>4</w:t>
      </w:r>
      <w:r w:rsidRPr="00541A3A">
        <w:rPr>
          <w:spacing w:val="6"/>
          <w:sz w:val="28"/>
          <w:szCs w:val="28"/>
          <w:lang w:val="uk-UA"/>
        </w:rPr>
        <w:t>].</w:t>
      </w:r>
    </w:p>
    <w:p w:rsidR="00703A28" w:rsidRPr="00541A3A" w:rsidRDefault="00703A28" w:rsidP="00703A28">
      <w:pPr>
        <w:shd w:val="clear" w:color="auto" w:fill="FFFFFF"/>
        <w:spacing w:line="360" w:lineRule="auto"/>
        <w:ind w:firstLine="709"/>
        <w:jc w:val="both"/>
        <w:rPr>
          <w:rStyle w:val="rvts19"/>
          <w:spacing w:val="2"/>
          <w:lang w:val="uk-UA"/>
        </w:rPr>
      </w:pPr>
      <w:r w:rsidRPr="00541A3A">
        <w:rPr>
          <w:spacing w:val="2"/>
          <w:sz w:val="28"/>
          <w:szCs w:val="28"/>
          <w:lang w:val="uk-UA"/>
        </w:rPr>
        <w:t>Фахівці стверджують, що європейські ринки, на противагу американським, є більш сучасними й ефек</w:t>
      </w:r>
      <w:r w:rsidRPr="00541A3A">
        <w:rPr>
          <w:spacing w:val="2"/>
          <w:sz w:val="28"/>
          <w:szCs w:val="28"/>
          <w:lang w:val="uk-UA"/>
        </w:rPr>
        <w:softHyphen/>
        <w:t xml:space="preserve">тивними , завдяки єдиній європейській валюті, приватизації, </w:t>
      </w:r>
      <w:proofErr w:type="spellStart"/>
      <w:r w:rsidRPr="00541A3A">
        <w:rPr>
          <w:spacing w:val="2"/>
          <w:sz w:val="28"/>
          <w:szCs w:val="28"/>
          <w:lang w:val="uk-UA"/>
        </w:rPr>
        <w:t>пан’європейському</w:t>
      </w:r>
      <w:proofErr w:type="spellEnd"/>
      <w:r w:rsidRPr="00541A3A">
        <w:rPr>
          <w:spacing w:val="2"/>
          <w:sz w:val="28"/>
          <w:szCs w:val="28"/>
          <w:lang w:val="uk-UA"/>
        </w:rPr>
        <w:t xml:space="preserve"> злиттю й об’єднанню, збільшенню кількості дрібних інвесторів. Таким чином, тенденції світового фондового ринку становлять збільшення та утворення наднаціональних структур із підсиленням процесу міжнародної інтеграції, особливо щодо європейських ринків. Вступ східноєвропейських країн у ЄС сильно змінив розподіл сил на фондовому ринку Європи. Малі й слабкі біржі вищезазначених країн стали мішенню для атак великих та могутніх конкурентів західноєвропейських країн. Така доля може спіткати й фондові біржі України, адже в них відсутній повноцінний інструмента</w:t>
      </w:r>
      <w:r w:rsidRPr="00541A3A">
        <w:rPr>
          <w:spacing w:val="2"/>
          <w:sz w:val="28"/>
          <w:szCs w:val="28"/>
          <w:lang w:val="uk-UA"/>
        </w:rPr>
        <w:softHyphen/>
        <w:t xml:space="preserve">рій та привабливі об’єкти для портфельного інвестування фондового ринку. Але в основному український фондовий ринок розвивається та стабільно зростає </w:t>
      </w:r>
      <w:r w:rsidRPr="00541A3A">
        <w:rPr>
          <w:rStyle w:val="rvts19"/>
          <w:spacing w:val="2"/>
          <w:lang w:val="uk-UA"/>
        </w:rPr>
        <w:t>[</w:t>
      </w:r>
      <w:r w:rsidR="00F6042B">
        <w:rPr>
          <w:rStyle w:val="rvts19"/>
          <w:spacing w:val="2"/>
          <w:lang w:val="uk-UA"/>
        </w:rPr>
        <w:t>1</w:t>
      </w:r>
      <w:r w:rsidRPr="00541A3A">
        <w:rPr>
          <w:rStyle w:val="rvts19"/>
          <w:spacing w:val="2"/>
          <w:lang w:val="uk-UA"/>
        </w:rPr>
        <w:t>, С. 90</w:t>
      </w:r>
      <w:r w:rsidRPr="00541A3A">
        <w:rPr>
          <w:spacing w:val="2"/>
          <w:sz w:val="28"/>
          <w:szCs w:val="28"/>
          <w:lang w:val="uk-UA"/>
        </w:rPr>
        <w:t>–</w:t>
      </w:r>
      <w:r w:rsidRPr="00541A3A">
        <w:rPr>
          <w:rStyle w:val="rvts19"/>
          <w:spacing w:val="2"/>
          <w:lang w:val="uk-UA"/>
        </w:rPr>
        <w:t xml:space="preserve">96]. </w:t>
      </w:r>
    </w:p>
    <w:p w:rsidR="0030103E" w:rsidRDefault="00703A28" w:rsidP="00703A28">
      <w:pPr>
        <w:shd w:val="clear" w:color="auto" w:fill="FFFFFF"/>
        <w:spacing w:line="360" w:lineRule="auto"/>
        <w:ind w:firstLine="709"/>
        <w:jc w:val="both"/>
        <w:rPr>
          <w:spacing w:val="4"/>
          <w:sz w:val="28"/>
          <w:szCs w:val="28"/>
          <w:lang w:val="uk-UA"/>
        </w:rPr>
      </w:pPr>
      <w:r w:rsidRPr="006B7843">
        <w:rPr>
          <w:spacing w:val="4"/>
          <w:sz w:val="28"/>
          <w:szCs w:val="28"/>
          <w:lang w:val="uk-UA"/>
        </w:rPr>
        <w:t xml:space="preserve">Отже, світова глобалізація фондових систем не обійде й нашу країну. За умов активного розвитку ринків Центральної та Східної Європи вона призведе до втрати </w:t>
      </w:r>
      <w:proofErr w:type="spellStart"/>
      <w:r w:rsidRPr="006B7843">
        <w:rPr>
          <w:spacing w:val="4"/>
          <w:sz w:val="28"/>
          <w:szCs w:val="28"/>
          <w:lang w:val="uk-UA"/>
        </w:rPr>
        <w:t>конкурентноздатності</w:t>
      </w:r>
      <w:proofErr w:type="spellEnd"/>
      <w:r w:rsidRPr="006B7843">
        <w:rPr>
          <w:spacing w:val="4"/>
          <w:sz w:val="28"/>
          <w:szCs w:val="28"/>
          <w:lang w:val="uk-UA"/>
        </w:rPr>
        <w:t xml:space="preserve"> фінансового ринку, де український ринок буде не в змозі витримати тиску й</w:t>
      </w:r>
      <w:r w:rsidRPr="006B7843">
        <w:rPr>
          <w:spacing w:val="4"/>
          <w:sz w:val="28"/>
          <w:szCs w:val="28"/>
        </w:rPr>
        <w:t xml:space="preserve"> </w:t>
      </w:r>
      <w:r w:rsidRPr="006B7843">
        <w:rPr>
          <w:spacing w:val="4"/>
          <w:sz w:val="28"/>
          <w:szCs w:val="28"/>
          <w:lang w:val="uk-UA"/>
        </w:rPr>
        <w:t>або поступо</w:t>
      </w:r>
      <w:r w:rsidRPr="006B7843">
        <w:rPr>
          <w:spacing w:val="4"/>
          <w:sz w:val="28"/>
          <w:szCs w:val="28"/>
          <w:lang w:val="uk-UA"/>
        </w:rPr>
        <w:softHyphen/>
        <w:t xml:space="preserve">во ввійде до європейської структури, або припинить існування. Тобто інтеграційні процеси України до європейського економічного простору призведуть до поглинання фінансового ринку краще організованими і капіталізованими конкурентами, банкрутства професійних членів ринку, а також виникне потреба отримати українськими підприємствами фінансові ресурси на </w:t>
      </w:r>
      <w:r w:rsidRPr="006B7843">
        <w:rPr>
          <w:spacing w:val="4"/>
          <w:sz w:val="28"/>
          <w:szCs w:val="28"/>
          <w:lang w:val="uk-UA"/>
        </w:rPr>
        <w:lastRenderedPageBreak/>
        <w:t xml:space="preserve">іноземних ринках за ціною, яка буде нереально високою для українського фондового ринку. </w:t>
      </w:r>
    </w:p>
    <w:p w:rsidR="00F71634" w:rsidRDefault="00F71634" w:rsidP="00703A28">
      <w:pPr>
        <w:shd w:val="clear" w:color="auto" w:fill="FFFFFF"/>
        <w:spacing w:line="360" w:lineRule="auto"/>
        <w:ind w:firstLine="709"/>
        <w:jc w:val="both"/>
        <w:rPr>
          <w:spacing w:val="4"/>
          <w:sz w:val="28"/>
          <w:szCs w:val="28"/>
          <w:lang w:val="uk-UA"/>
        </w:rPr>
      </w:pPr>
      <w:r>
        <w:rPr>
          <w:spacing w:val="4"/>
          <w:sz w:val="28"/>
          <w:szCs w:val="28"/>
          <w:lang w:val="uk-UA"/>
        </w:rPr>
        <w:t>Література:</w:t>
      </w:r>
    </w:p>
    <w:p w:rsidR="00F71634" w:rsidRPr="00317513" w:rsidRDefault="00F71634" w:rsidP="00F71634">
      <w:pPr>
        <w:spacing w:line="360" w:lineRule="auto"/>
        <w:ind w:firstLine="709"/>
        <w:jc w:val="both"/>
        <w:rPr>
          <w:rStyle w:val="rvts19"/>
          <w:spacing w:val="-2"/>
          <w:lang w:val="uk-UA"/>
        </w:rPr>
      </w:pPr>
      <w:r>
        <w:rPr>
          <w:sz w:val="28"/>
          <w:szCs w:val="28"/>
          <w:lang w:val="uk-UA"/>
        </w:rPr>
        <w:t>1</w:t>
      </w:r>
      <w:r w:rsidRPr="00317513">
        <w:rPr>
          <w:sz w:val="28"/>
          <w:szCs w:val="28"/>
          <w:lang w:val="uk-UA"/>
        </w:rPr>
        <w:t xml:space="preserve">. </w:t>
      </w:r>
      <w:r w:rsidRPr="00317513">
        <w:rPr>
          <w:rStyle w:val="rvts19"/>
          <w:spacing w:val="-2"/>
          <w:lang w:val="uk-UA"/>
        </w:rPr>
        <w:t xml:space="preserve">Карпенко Г. В. Досвід розвитку фондового ринку країн Європи та його використання в Україні / Г. В. Карпенко </w:t>
      </w:r>
      <w:r w:rsidRPr="00317513">
        <w:rPr>
          <w:rStyle w:val="rvts19"/>
          <w:spacing w:val="-2"/>
        </w:rPr>
        <w:t>//</w:t>
      </w:r>
      <w:r w:rsidRPr="00317513">
        <w:rPr>
          <w:rStyle w:val="rvts19"/>
          <w:spacing w:val="-2"/>
          <w:lang w:val="uk-UA"/>
        </w:rPr>
        <w:t xml:space="preserve"> Фінанси України. – 2007. – № 6. – С. 90</w:t>
      </w:r>
      <w:r w:rsidRPr="00317513">
        <w:rPr>
          <w:rStyle w:val="rvts19"/>
          <w:spacing w:val="-2"/>
          <w:lang w:val="uk-UA"/>
        </w:rPr>
        <w:sym w:font="Symbol" w:char="F02D"/>
      </w:r>
      <w:r w:rsidRPr="00317513">
        <w:rPr>
          <w:rStyle w:val="rvts19"/>
          <w:spacing w:val="-2"/>
          <w:lang w:val="uk-UA"/>
        </w:rPr>
        <w:t>96.</w:t>
      </w:r>
    </w:p>
    <w:p w:rsidR="00F6042B" w:rsidRDefault="00F6042B" w:rsidP="00F71634">
      <w:pPr>
        <w:spacing w:line="360" w:lineRule="auto"/>
        <w:ind w:firstLine="709"/>
        <w:jc w:val="both"/>
        <w:rPr>
          <w:sz w:val="28"/>
          <w:szCs w:val="28"/>
          <w:lang w:val="uk-UA"/>
        </w:rPr>
      </w:pPr>
      <w:r>
        <w:rPr>
          <w:sz w:val="28"/>
          <w:szCs w:val="28"/>
          <w:lang w:val="uk-UA"/>
        </w:rPr>
        <w:t>2</w:t>
      </w:r>
      <w:r w:rsidRPr="00317513">
        <w:rPr>
          <w:sz w:val="28"/>
          <w:szCs w:val="28"/>
          <w:lang w:val="uk-UA"/>
        </w:rPr>
        <w:t xml:space="preserve">. Лістинг цінних паперів в Україні: правове регулювання // Цінні папери України. </w:t>
      </w:r>
      <w:r w:rsidRPr="00317513">
        <w:rPr>
          <w:sz w:val="28"/>
          <w:szCs w:val="28"/>
          <w:lang w:val="uk-UA"/>
        </w:rPr>
        <w:sym w:font="Symbol" w:char="F02D"/>
      </w:r>
      <w:r w:rsidRPr="00317513">
        <w:rPr>
          <w:sz w:val="28"/>
          <w:szCs w:val="28"/>
          <w:lang w:val="uk-UA"/>
        </w:rPr>
        <w:t xml:space="preserve"> 2003. </w:t>
      </w:r>
      <w:r w:rsidRPr="00317513">
        <w:rPr>
          <w:sz w:val="28"/>
          <w:szCs w:val="28"/>
          <w:lang w:val="uk-UA"/>
        </w:rPr>
        <w:sym w:font="Symbol" w:char="F02D"/>
      </w:r>
      <w:r w:rsidRPr="00317513">
        <w:rPr>
          <w:sz w:val="28"/>
          <w:szCs w:val="28"/>
          <w:lang w:val="uk-UA"/>
        </w:rPr>
        <w:t xml:space="preserve"> № 21 (259) </w:t>
      </w:r>
      <w:r w:rsidRPr="00317513">
        <w:rPr>
          <w:sz w:val="28"/>
          <w:szCs w:val="28"/>
          <w:lang w:val="uk-UA"/>
        </w:rPr>
        <w:sym w:font="Symbol" w:char="F02D"/>
      </w:r>
      <w:r w:rsidRPr="00317513">
        <w:rPr>
          <w:sz w:val="28"/>
          <w:szCs w:val="28"/>
          <w:lang w:val="uk-UA"/>
        </w:rPr>
        <w:t xml:space="preserve"> 5 червня. </w:t>
      </w:r>
      <w:r w:rsidRPr="00317513">
        <w:rPr>
          <w:sz w:val="28"/>
          <w:szCs w:val="28"/>
          <w:lang w:val="uk-UA"/>
        </w:rPr>
        <w:sym w:font="Symbol" w:char="F02D"/>
      </w:r>
      <w:r w:rsidRPr="00317513">
        <w:rPr>
          <w:sz w:val="28"/>
          <w:szCs w:val="28"/>
          <w:lang w:val="uk-UA"/>
        </w:rPr>
        <w:t xml:space="preserve"> Режим доступу : </w:t>
      </w:r>
      <w:hyperlink r:id="rId5" w:history="1">
        <w:r w:rsidRPr="00317513">
          <w:rPr>
            <w:rStyle w:val="a5"/>
            <w:sz w:val="28"/>
            <w:szCs w:val="28"/>
          </w:rPr>
          <w:t>http</w:t>
        </w:r>
        <w:r w:rsidRPr="00317513">
          <w:rPr>
            <w:rStyle w:val="a5"/>
            <w:sz w:val="28"/>
            <w:szCs w:val="28"/>
            <w:lang w:val="uk-UA"/>
          </w:rPr>
          <w:t>://</w:t>
        </w:r>
        <w:r w:rsidRPr="00317513">
          <w:rPr>
            <w:rStyle w:val="a5"/>
            <w:sz w:val="28"/>
            <w:szCs w:val="28"/>
          </w:rPr>
          <w:t>www</w:t>
        </w:r>
        <w:r w:rsidRPr="00317513">
          <w:rPr>
            <w:rStyle w:val="a5"/>
            <w:sz w:val="28"/>
            <w:szCs w:val="28"/>
            <w:lang w:val="uk-UA"/>
          </w:rPr>
          <w:t>.</w:t>
        </w:r>
        <w:r w:rsidRPr="00317513">
          <w:rPr>
            <w:rStyle w:val="a5"/>
            <w:sz w:val="28"/>
            <w:szCs w:val="28"/>
          </w:rPr>
          <w:t>securities</w:t>
        </w:r>
        <w:r w:rsidRPr="00317513">
          <w:rPr>
            <w:rStyle w:val="a5"/>
            <w:sz w:val="28"/>
            <w:szCs w:val="28"/>
            <w:lang w:val="uk-UA"/>
          </w:rPr>
          <w:t>.</w:t>
        </w:r>
        <w:r w:rsidRPr="00317513">
          <w:rPr>
            <w:rStyle w:val="a5"/>
            <w:sz w:val="28"/>
            <w:szCs w:val="28"/>
          </w:rPr>
          <w:t>org</w:t>
        </w:r>
        <w:r w:rsidRPr="00317513">
          <w:rPr>
            <w:rStyle w:val="a5"/>
            <w:sz w:val="28"/>
            <w:szCs w:val="28"/>
            <w:lang w:val="uk-UA"/>
          </w:rPr>
          <w:t>.</w:t>
        </w:r>
        <w:r w:rsidRPr="00317513">
          <w:rPr>
            <w:rStyle w:val="a5"/>
            <w:sz w:val="28"/>
            <w:szCs w:val="28"/>
          </w:rPr>
          <w:t>ua</w:t>
        </w:r>
        <w:r w:rsidRPr="00317513">
          <w:rPr>
            <w:rStyle w:val="a5"/>
            <w:sz w:val="28"/>
            <w:szCs w:val="28"/>
            <w:lang w:val="uk-UA"/>
          </w:rPr>
          <w:t>/</w:t>
        </w:r>
        <w:r w:rsidRPr="00317513">
          <w:rPr>
            <w:rStyle w:val="a5"/>
            <w:sz w:val="28"/>
            <w:szCs w:val="28"/>
          </w:rPr>
          <w:t>securities</w:t>
        </w:r>
        <w:r w:rsidRPr="00317513">
          <w:rPr>
            <w:rStyle w:val="a5"/>
            <w:sz w:val="28"/>
            <w:szCs w:val="28"/>
            <w:lang w:val="uk-UA"/>
          </w:rPr>
          <w:t>_</w:t>
        </w:r>
        <w:r w:rsidRPr="00317513">
          <w:rPr>
            <w:rStyle w:val="a5"/>
            <w:sz w:val="28"/>
            <w:szCs w:val="28"/>
          </w:rPr>
          <w:t>paper</w:t>
        </w:r>
        <w:r w:rsidRPr="00317513">
          <w:rPr>
            <w:rStyle w:val="a5"/>
            <w:sz w:val="28"/>
            <w:szCs w:val="28"/>
            <w:lang w:val="uk-UA"/>
          </w:rPr>
          <w:t>/</w:t>
        </w:r>
        <w:r w:rsidRPr="00317513">
          <w:rPr>
            <w:rStyle w:val="a5"/>
            <w:sz w:val="28"/>
            <w:szCs w:val="28"/>
          </w:rPr>
          <w:t>review</w:t>
        </w:r>
        <w:r w:rsidRPr="00317513">
          <w:rPr>
            <w:rStyle w:val="a5"/>
            <w:sz w:val="28"/>
            <w:szCs w:val="28"/>
            <w:lang w:val="uk-UA"/>
          </w:rPr>
          <w:t>.</w:t>
        </w:r>
        <w:r w:rsidRPr="00317513">
          <w:rPr>
            <w:rStyle w:val="a5"/>
            <w:sz w:val="28"/>
            <w:szCs w:val="28"/>
          </w:rPr>
          <w:t>php</w:t>
        </w:r>
        <w:r w:rsidRPr="00317513">
          <w:rPr>
            <w:rStyle w:val="a5"/>
            <w:sz w:val="28"/>
            <w:szCs w:val="28"/>
            <w:lang w:val="uk-UA"/>
          </w:rPr>
          <w:t>?</w:t>
        </w:r>
        <w:r w:rsidRPr="00317513">
          <w:rPr>
            <w:rStyle w:val="a5"/>
            <w:sz w:val="28"/>
            <w:szCs w:val="28"/>
          </w:rPr>
          <w:t>id</w:t>
        </w:r>
        <w:r w:rsidRPr="00317513">
          <w:rPr>
            <w:rStyle w:val="a5"/>
            <w:sz w:val="28"/>
            <w:szCs w:val="28"/>
            <w:lang w:val="uk-UA"/>
          </w:rPr>
          <w:t>=259&amp;</w:t>
        </w:r>
        <w:r w:rsidRPr="00317513">
          <w:rPr>
            <w:rStyle w:val="a5"/>
            <w:sz w:val="28"/>
            <w:szCs w:val="28"/>
          </w:rPr>
          <w:t>pub</w:t>
        </w:r>
        <w:r w:rsidRPr="00317513">
          <w:rPr>
            <w:rStyle w:val="a5"/>
            <w:sz w:val="28"/>
            <w:szCs w:val="28"/>
            <w:lang w:val="uk-UA"/>
          </w:rPr>
          <w:t>=378</w:t>
        </w:r>
      </w:hyperlink>
    </w:p>
    <w:p w:rsidR="00F6042B" w:rsidRPr="00317513" w:rsidRDefault="00F6042B" w:rsidP="00F6042B">
      <w:pPr>
        <w:spacing w:line="360" w:lineRule="auto"/>
        <w:ind w:firstLine="709"/>
        <w:jc w:val="both"/>
        <w:rPr>
          <w:sz w:val="28"/>
          <w:szCs w:val="28"/>
          <w:lang w:val="uk-UA"/>
        </w:rPr>
      </w:pPr>
      <w:r>
        <w:rPr>
          <w:sz w:val="28"/>
          <w:szCs w:val="28"/>
          <w:lang w:val="uk-UA"/>
        </w:rPr>
        <w:t xml:space="preserve">3. </w:t>
      </w:r>
      <w:r w:rsidRPr="00317513">
        <w:rPr>
          <w:sz w:val="28"/>
          <w:szCs w:val="28"/>
        </w:rPr>
        <w:t xml:space="preserve">Про </w:t>
      </w:r>
      <w:proofErr w:type="spellStart"/>
      <w:proofErr w:type="gramStart"/>
      <w:r w:rsidRPr="00317513">
        <w:rPr>
          <w:sz w:val="28"/>
          <w:szCs w:val="28"/>
        </w:rPr>
        <w:t>п</w:t>
      </w:r>
      <w:proofErr w:type="gramEnd"/>
      <w:r w:rsidRPr="00317513">
        <w:rPr>
          <w:sz w:val="28"/>
          <w:szCs w:val="28"/>
        </w:rPr>
        <w:t>ідводні</w:t>
      </w:r>
      <w:proofErr w:type="spellEnd"/>
      <w:r w:rsidRPr="00317513">
        <w:rPr>
          <w:sz w:val="28"/>
          <w:szCs w:val="28"/>
        </w:rPr>
        <w:t xml:space="preserve"> </w:t>
      </w:r>
      <w:proofErr w:type="spellStart"/>
      <w:r w:rsidRPr="00317513">
        <w:rPr>
          <w:sz w:val="28"/>
          <w:szCs w:val="28"/>
        </w:rPr>
        <w:t>камені</w:t>
      </w:r>
      <w:proofErr w:type="spellEnd"/>
      <w:r w:rsidRPr="00317513">
        <w:rPr>
          <w:sz w:val="28"/>
          <w:szCs w:val="28"/>
        </w:rPr>
        <w:t xml:space="preserve"> </w:t>
      </w:r>
      <w:proofErr w:type="spellStart"/>
      <w:r w:rsidRPr="00317513">
        <w:rPr>
          <w:sz w:val="28"/>
          <w:szCs w:val="28"/>
        </w:rPr>
        <w:t>обов’язкової</w:t>
      </w:r>
      <w:proofErr w:type="spellEnd"/>
      <w:r w:rsidRPr="00317513">
        <w:rPr>
          <w:sz w:val="28"/>
          <w:szCs w:val="28"/>
        </w:rPr>
        <w:t xml:space="preserve"> </w:t>
      </w:r>
      <w:proofErr w:type="spellStart"/>
      <w:r w:rsidRPr="00317513">
        <w:rPr>
          <w:sz w:val="28"/>
          <w:szCs w:val="28"/>
        </w:rPr>
        <w:t>процедури</w:t>
      </w:r>
      <w:proofErr w:type="spellEnd"/>
      <w:r w:rsidRPr="00317513">
        <w:rPr>
          <w:sz w:val="28"/>
          <w:szCs w:val="28"/>
        </w:rPr>
        <w:t xml:space="preserve"> </w:t>
      </w:r>
      <w:proofErr w:type="spellStart"/>
      <w:r w:rsidRPr="00317513">
        <w:rPr>
          <w:sz w:val="28"/>
          <w:szCs w:val="28"/>
        </w:rPr>
        <w:t>лістингу</w:t>
      </w:r>
      <w:proofErr w:type="spellEnd"/>
      <w:r w:rsidRPr="00317513">
        <w:rPr>
          <w:sz w:val="28"/>
          <w:szCs w:val="28"/>
        </w:rPr>
        <w:t xml:space="preserve"> // </w:t>
      </w:r>
      <w:hyperlink r:id="rId6" w:history="1">
        <w:r w:rsidRPr="00317513">
          <w:rPr>
            <w:rStyle w:val="a5"/>
            <w:bCs/>
            <w:iCs/>
            <w:sz w:val="28"/>
            <w:szCs w:val="28"/>
          </w:rPr>
          <w:t>Правовий тиждень</w:t>
        </w:r>
      </w:hyperlink>
      <w:r w:rsidRPr="00317513">
        <w:rPr>
          <w:iCs/>
          <w:sz w:val="28"/>
          <w:szCs w:val="28"/>
          <w:lang w:val="uk-UA"/>
        </w:rPr>
        <w:t xml:space="preserve">. </w:t>
      </w:r>
      <w:r w:rsidRPr="00317513">
        <w:rPr>
          <w:iCs/>
          <w:sz w:val="28"/>
          <w:szCs w:val="28"/>
          <w:lang w:val="uk-UA"/>
        </w:rPr>
        <w:sym w:font="Symbol" w:char="F02D"/>
      </w:r>
      <w:r w:rsidRPr="00317513">
        <w:rPr>
          <w:iCs/>
          <w:sz w:val="28"/>
          <w:szCs w:val="28"/>
          <w:lang w:val="uk-UA"/>
        </w:rPr>
        <w:t xml:space="preserve"> Режим доступу : </w:t>
      </w:r>
      <w:hyperlink r:id="rId7" w:history="1">
        <w:r w:rsidRPr="00800F5D">
          <w:rPr>
            <w:rStyle w:val="a5"/>
            <w:sz w:val="28"/>
            <w:szCs w:val="28"/>
            <w:lang w:val="en-US"/>
          </w:rPr>
          <w:t>http</w:t>
        </w:r>
        <w:r w:rsidRPr="00800F5D">
          <w:rPr>
            <w:rStyle w:val="a5"/>
            <w:sz w:val="28"/>
            <w:szCs w:val="28"/>
          </w:rPr>
          <w:t>://</w:t>
        </w:r>
        <w:r w:rsidRPr="00800F5D">
          <w:rPr>
            <w:rStyle w:val="a5"/>
            <w:sz w:val="28"/>
            <w:szCs w:val="28"/>
            <w:lang w:val="en-US"/>
          </w:rPr>
          <w:t>www</w:t>
        </w:r>
        <w:r w:rsidRPr="00800F5D">
          <w:rPr>
            <w:rStyle w:val="a5"/>
            <w:sz w:val="28"/>
            <w:szCs w:val="28"/>
          </w:rPr>
          <w:t>.</w:t>
        </w:r>
        <w:r w:rsidRPr="00800F5D">
          <w:rPr>
            <w:rStyle w:val="a5"/>
            <w:sz w:val="28"/>
            <w:szCs w:val="28"/>
            <w:lang w:val="en-US"/>
          </w:rPr>
          <w:t>vestnikao</w:t>
        </w:r>
        <w:r w:rsidRPr="00800F5D">
          <w:rPr>
            <w:rStyle w:val="a5"/>
            <w:sz w:val="28"/>
            <w:szCs w:val="28"/>
          </w:rPr>
          <w:t>.</w:t>
        </w:r>
        <w:r w:rsidRPr="00800F5D">
          <w:rPr>
            <w:rStyle w:val="a5"/>
            <w:sz w:val="28"/>
            <w:szCs w:val="28"/>
            <w:lang w:val="en-US"/>
          </w:rPr>
          <w:t>com</w:t>
        </w:r>
        <w:r w:rsidRPr="00800F5D">
          <w:rPr>
            <w:rStyle w:val="a5"/>
            <w:sz w:val="28"/>
            <w:szCs w:val="28"/>
          </w:rPr>
          <w:t>.</w:t>
        </w:r>
        <w:r w:rsidRPr="00800F5D">
          <w:rPr>
            <w:rStyle w:val="a5"/>
            <w:sz w:val="28"/>
            <w:szCs w:val="28"/>
            <w:lang w:val="en-US"/>
          </w:rPr>
          <w:t>ua</w:t>
        </w:r>
        <w:r w:rsidRPr="00800F5D">
          <w:rPr>
            <w:rStyle w:val="a5"/>
            <w:sz w:val="28"/>
            <w:szCs w:val="28"/>
          </w:rPr>
          <w:t>/</w:t>
        </w:r>
        <w:r w:rsidRPr="00800F5D">
          <w:rPr>
            <w:rStyle w:val="a5"/>
            <w:sz w:val="28"/>
            <w:szCs w:val="28"/>
            <w:lang w:val="en-US"/>
          </w:rPr>
          <w:t>publ</w:t>
        </w:r>
        <w:r w:rsidRPr="00800F5D">
          <w:rPr>
            <w:rStyle w:val="a5"/>
            <w:sz w:val="28"/>
            <w:szCs w:val="28"/>
          </w:rPr>
          <w:t>/</w:t>
        </w:r>
        <w:r w:rsidRPr="00800F5D">
          <w:rPr>
            <w:rStyle w:val="a5"/>
            <w:sz w:val="28"/>
            <w:szCs w:val="28"/>
            <w:lang w:val="en-US"/>
          </w:rPr>
          <w:t>pro</w:t>
        </w:r>
        <w:r w:rsidRPr="00800F5D">
          <w:rPr>
            <w:rStyle w:val="a5"/>
            <w:sz w:val="28"/>
            <w:szCs w:val="28"/>
          </w:rPr>
          <w:t>_</w:t>
        </w:r>
        <w:r w:rsidRPr="00800F5D">
          <w:rPr>
            <w:rStyle w:val="a5"/>
            <w:sz w:val="28"/>
            <w:szCs w:val="28"/>
            <w:lang w:val="en-US"/>
          </w:rPr>
          <w:t>pidvodni</w:t>
        </w:r>
        <w:r w:rsidRPr="00800F5D">
          <w:rPr>
            <w:rStyle w:val="a5"/>
            <w:sz w:val="28"/>
            <w:szCs w:val="28"/>
          </w:rPr>
          <w:t>_</w:t>
        </w:r>
        <w:r w:rsidRPr="00800F5D">
          <w:rPr>
            <w:rStyle w:val="a5"/>
            <w:sz w:val="28"/>
            <w:szCs w:val="28"/>
            <w:lang w:val="en-US"/>
          </w:rPr>
          <w:t>kameni</w:t>
        </w:r>
        <w:r w:rsidRPr="00800F5D">
          <w:rPr>
            <w:rStyle w:val="a5"/>
            <w:sz w:val="28"/>
            <w:szCs w:val="28"/>
          </w:rPr>
          <w:t>_</w:t>
        </w:r>
        <w:r w:rsidRPr="00800F5D">
          <w:rPr>
            <w:rStyle w:val="a5"/>
            <w:sz w:val="28"/>
            <w:szCs w:val="28"/>
            <w:lang w:val="en-US"/>
          </w:rPr>
          <w:t>obovjazkovoji</w:t>
        </w:r>
        <w:r w:rsidRPr="00800F5D">
          <w:rPr>
            <w:rStyle w:val="a5"/>
            <w:sz w:val="28"/>
            <w:szCs w:val="28"/>
          </w:rPr>
          <w:t>_</w:t>
        </w:r>
        <w:r w:rsidRPr="00800F5D">
          <w:rPr>
            <w:rStyle w:val="a5"/>
            <w:sz w:val="28"/>
            <w:szCs w:val="28"/>
            <w:lang w:val="en-US"/>
          </w:rPr>
          <w:t>proceduri</w:t>
        </w:r>
        <w:r w:rsidRPr="00800F5D">
          <w:rPr>
            <w:rStyle w:val="a5"/>
            <w:sz w:val="28"/>
            <w:szCs w:val="28"/>
          </w:rPr>
          <w:t>_</w:t>
        </w:r>
        <w:r w:rsidRPr="00800F5D">
          <w:rPr>
            <w:rStyle w:val="a5"/>
            <w:sz w:val="28"/>
            <w:szCs w:val="28"/>
            <w:lang w:val="en-US"/>
          </w:rPr>
          <w:t>listingu</w:t>
        </w:r>
        <w:r w:rsidRPr="00800F5D">
          <w:rPr>
            <w:rStyle w:val="a5"/>
            <w:sz w:val="28"/>
            <w:szCs w:val="28"/>
          </w:rPr>
          <w:t>/9-1-0-176</w:t>
        </w:r>
      </w:hyperlink>
      <w:r w:rsidRPr="00317513">
        <w:rPr>
          <w:sz w:val="28"/>
          <w:szCs w:val="28"/>
          <w:lang w:val="uk-UA"/>
        </w:rPr>
        <w:t xml:space="preserve">. </w:t>
      </w:r>
    </w:p>
    <w:p w:rsidR="00F6042B" w:rsidRDefault="00F6042B" w:rsidP="00F71634">
      <w:pPr>
        <w:spacing w:line="360" w:lineRule="auto"/>
        <w:ind w:firstLine="709"/>
        <w:jc w:val="both"/>
        <w:rPr>
          <w:sz w:val="28"/>
          <w:szCs w:val="28"/>
          <w:lang w:val="uk-UA"/>
        </w:rPr>
      </w:pPr>
      <w:r>
        <w:rPr>
          <w:sz w:val="28"/>
          <w:szCs w:val="28"/>
          <w:lang w:val="uk-UA"/>
        </w:rPr>
        <w:t>4</w:t>
      </w:r>
      <w:r w:rsidRPr="00317513">
        <w:rPr>
          <w:sz w:val="28"/>
          <w:szCs w:val="28"/>
          <w:lang w:val="uk-UA"/>
        </w:rPr>
        <w:t>.</w:t>
      </w:r>
      <w:r w:rsidRPr="00317513">
        <w:rPr>
          <w:spacing w:val="-2"/>
          <w:sz w:val="28"/>
          <w:szCs w:val="28"/>
          <w:lang w:val="uk-UA"/>
        </w:rPr>
        <w:t xml:space="preserve"> </w:t>
      </w:r>
      <w:hyperlink r:id="rId8" w:history="1">
        <w:r w:rsidRPr="00317513">
          <w:rPr>
            <w:rStyle w:val="a5"/>
            <w:spacing w:val="-2"/>
            <w:sz w:val="28"/>
            <w:szCs w:val="28"/>
            <w:lang w:eastAsia="uk-UA"/>
          </w:rPr>
          <w:t>http</w:t>
        </w:r>
        <w:r w:rsidRPr="00317513">
          <w:rPr>
            <w:rStyle w:val="a5"/>
            <w:spacing w:val="-2"/>
            <w:sz w:val="28"/>
            <w:szCs w:val="28"/>
            <w:lang w:val="uk-UA" w:eastAsia="uk-UA"/>
          </w:rPr>
          <w:t>://</w:t>
        </w:r>
        <w:r w:rsidRPr="00317513">
          <w:rPr>
            <w:rStyle w:val="a5"/>
            <w:spacing w:val="-2"/>
            <w:sz w:val="28"/>
            <w:szCs w:val="28"/>
            <w:lang w:eastAsia="uk-UA"/>
          </w:rPr>
          <w:t>fogmaker</w:t>
        </w:r>
        <w:r w:rsidRPr="00317513">
          <w:rPr>
            <w:rStyle w:val="a5"/>
            <w:spacing w:val="-2"/>
            <w:sz w:val="28"/>
            <w:szCs w:val="28"/>
            <w:lang w:val="uk-UA" w:eastAsia="uk-UA"/>
          </w:rPr>
          <w:t>.</w:t>
        </w:r>
        <w:r w:rsidRPr="00317513">
          <w:rPr>
            <w:rStyle w:val="a5"/>
            <w:spacing w:val="-2"/>
            <w:sz w:val="28"/>
            <w:szCs w:val="28"/>
            <w:lang w:eastAsia="uk-UA"/>
          </w:rPr>
          <w:t>net</w:t>
        </w:r>
      </w:hyperlink>
    </w:p>
    <w:p w:rsidR="00F6042B" w:rsidRPr="00F6042B" w:rsidRDefault="00F6042B" w:rsidP="00F71634">
      <w:pPr>
        <w:spacing w:line="360" w:lineRule="auto"/>
        <w:ind w:firstLine="709"/>
        <w:jc w:val="both"/>
        <w:rPr>
          <w:sz w:val="28"/>
          <w:szCs w:val="28"/>
          <w:lang w:val="uk-UA"/>
        </w:rPr>
      </w:pPr>
    </w:p>
    <w:sectPr w:rsidR="00F6042B" w:rsidRPr="00F6042B" w:rsidSect="003E11D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A28"/>
    <w:rsid w:val="000B1DB4"/>
    <w:rsid w:val="00257497"/>
    <w:rsid w:val="0030103E"/>
    <w:rsid w:val="003E11DA"/>
    <w:rsid w:val="00470099"/>
    <w:rsid w:val="00703A28"/>
    <w:rsid w:val="008B4258"/>
    <w:rsid w:val="00E258CC"/>
    <w:rsid w:val="00E27674"/>
    <w:rsid w:val="00F6042B"/>
    <w:rsid w:val="00F71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A28"/>
    <w:pPr>
      <w:spacing w:line="240" w:lineRule="auto"/>
      <w:ind w:firstLine="0"/>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9">
    <w:name w:val="rvts19"/>
    <w:basedOn w:val="a0"/>
    <w:rsid w:val="00703A28"/>
    <w:rPr>
      <w:rFonts w:ascii="Times New Roman" w:hAnsi="Times New Roman" w:cs="Times New Roman" w:hint="default"/>
      <w:spacing w:val="-15"/>
      <w:sz w:val="28"/>
      <w:szCs w:val="28"/>
    </w:rPr>
  </w:style>
  <w:style w:type="paragraph" w:customStyle="1" w:styleId="text">
    <w:name w:val="text"/>
    <w:basedOn w:val="a"/>
    <w:rsid w:val="00703A28"/>
    <w:pPr>
      <w:spacing w:before="100" w:beforeAutospacing="1" w:after="100" w:afterAutospacing="1"/>
    </w:pPr>
  </w:style>
  <w:style w:type="paragraph" w:styleId="a3">
    <w:name w:val="footnote text"/>
    <w:aliases w:val="Podrozdział,Table_Footnote_last,Table_Footnote_last Знак,ft,Used by Word for text of Help footnotes,Fußnote,Footnote Text_1,Footnote,WB-Fußnotentext,WB-Fußnotentext Char Char,WB-Fußnotentext Char Char ,Fu?note,Текст сноски Знак Знак"/>
    <w:basedOn w:val="a"/>
    <w:link w:val="a4"/>
    <w:rsid w:val="00E258CC"/>
    <w:rPr>
      <w:rFonts w:eastAsia="Calibri"/>
      <w:sz w:val="20"/>
      <w:szCs w:val="20"/>
      <w:lang w:val="x-none"/>
    </w:rPr>
  </w:style>
  <w:style w:type="character" w:customStyle="1" w:styleId="a4">
    <w:name w:val="Текст сноски Знак"/>
    <w:aliases w:val="Podrozdział Знак,Table_Footnote_last Знак1,Table_Footnote_last Знак Знак,ft Знак,Used by Word for text of Help footnotes Знак,Fußnote Знак,Footnote Text_1 Знак,Footnote Знак,WB-Fußnotentext Знак,WB-Fußnotentext Char Char Знак"/>
    <w:basedOn w:val="a0"/>
    <w:link w:val="a3"/>
    <w:rsid w:val="00E258CC"/>
    <w:rPr>
      <w:rFonts w:eastAsia="Calibri" w:cs="Times New Roman"/>
      <w:sz w:val="20"/>
      <w:szCs w:val="20"/>
      <w:lang w:val="x-none" w:eastAsia="ru-RU"/>
    </w:rPr>
  </w:style>
  <w:style w:type="character" w:styleId="a5">
    <w:name w:val="Hyperlink"/>
    <w:basedOn w:val="a0"/>
    <w:rsid w:val="00F71634"/>
    <w:rPr>
      <w:color w:val="0000FF"/>
      <w:u w:val="single"/>
    </w:rPr>
  </w:style>
  <w:style w:type="character" w:styleId="a6">
    <w:name w:val="FollowedHyperlink"/>
    <w:basedOn w:val="a0"/>
    <w:uiPriority w:val="99"/>
    <w:semiHidden/>
    <w:unhideWhenUsed/>
    <w:rsid w:val="00F716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A28"/>
    <w:pPr>
      <w:spacing w:line="240" w:lineRule="auto"/>
      <w:ind w:firstLine="0"/>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9">
    <w:name w:val="rvts19"/>
    <w:basedOn w:val="a0"/>
    <w:rsid w:val="00703A28"/>
    <w:rPr>
      <w:rFonts w:ascii="Times New Roman" w:hAnsi="Times New Roman" w:cs="Times New Roman" w:hint="default"/>
      <w:spacing w:val="-15"/>
      <w:sz w:val="28"/>
      <w:szCs w:val="28"/>
    </w:rPr>
  </w:style>
  <w:style w:type="paragraph" w:customStyle="1" w:styleId="text">
    <w:name w:val="text"/>
    <w:basedOn w:val="a"/>
    <w:rsid w:val="00703A28"/>
    <w:pPr>
      <w:spacing w:before="100" w:beforeAutospacing="1" w:after="100" w:afterAutospacing="1"/>
    </w:pPr>
  </w:style>
  <w:style w:type="paragraph" w:styleId="a3">
    <w:name w:val="footnote text"/>
    <w:aliases w:val="Podrozdział,Table_Footnote_last,Table_Footnote_last Знак,ft,Used by Word for text of Help footnotes,Fußnote,Footnote Text_1,Footnote,WB-Fußnotentext,WB-Fußnotentext Char Char,WB-Fußnotentext Char Char ,Fu?note,Текст сноски Знак Знак"/>
    <w:basedOn w:val="a"/>
    <w:link w:val="a4"/>
    <w:rsid w:val="00E258CC"/>
    <w:rPr>
      <w:rFonts w:eastAsia="Calibri"/>
      <w:sz w:val="20"/>
      <w:szCs w:val="20"/>
      <w:lang w:val="x-none"/>
    </w:rPr>
  </w:style>
  <w:style w:type="character" w:customStyle="1" w:styleId="a4">
    <w:name w:val="Текст сноски Знак"/>
    <w:aliases w:val="Podrozdział Знак,Table_Footnote_last Знак1,Table_Footnote_last Знак Знак,ft Знак,Used by Word for text of Help footnotes Знак,Fußnote Знак,Footnote Text_1 Знак,Footnote Знак,WB-Fußnotentext Знак,WB-Fußnotentext Char Char Знак"/>
    <w:basedOn w:val="a0"/>
    <w:link w:val="a3"/>
    <w:rsid w:val="00E258CC"/>
    <w:rPr>
      <w:rFonts w:eastAsia="Calibri" w:cs="Times New Roman"/>
      <w:sz w:val="20"/>
      <w:szCs w:val="20"/>
      <w:lang w:val="x-none" w:eastAsia="ru-RU"/>
    </w:rPr>
  </w:style>
  <w:style w:type="character" w:styleId="a5">
    <w:name w:val="Hyperlink"/>
    <w:basedOn w:val="a0"/>
    <w:rsid w:val="00F71634"/>
    <w:rPr>
      <w:color w:val="0000FF"/>
      <w:u w:val="single"/>
    </w:rPr>
  </w:style>
  <w:style w:type="character" w:styleId="a6">
    <w:name w:val="FollowedHyperlink"/>
    <w:basedOn w:val="a0"/>
    <w:uiPriority w:val="99"/>
    <w:semiHidden/>
    <w:unhideWhenUsed/>
    <w:rsid w:val="00F71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gmaker.net" TargetMode="External"/><Relationship Id="rId3" Type="http://schemas.openxmlformats.org/officeDocument/2006/relationships/settings" Target="settings.xml"/><Relationship Id="rId7" Type="http://schemas.openxmlformats.org/officeDocument/2006/relationships/hyperlink" Target="http://www.vestnikao.com.ua/publ/pro_pidvodni_kameni_obovjazkovoji_proceduri_listingu/9-1-0-17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galweekly.com.ua/" TargetMode="External"/><Relationship Id="rId5" Type="http://schemas.openxmlformats.org/officeDocument/2006/relationships/hyperlink" Target="http://www.securities.org.ua/securities_paper/review.php?id=259&amp;pub=37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6564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2017-06-29T21:40:00Z</dcterms:created>
  <dcterms:modified xsi:type="dcterms:W3CDTF">2017-06-29T21:40:00Z</dcterms:modified>
</cp:coreProperties>
</file>