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BA" w:rsidRPr="006741F4" w:rsidRDefault="001163BA" w:rsidP="00F60BA8">
      <w:pPr>
        <w:shd w:val="clear" w:color="auto" w:fill="FFFFFF"/>
        <w:jc w:val="both"/>
        <w:rPr>
          <w:sz w:val="28"/>
          <w:szCs w:val="28"/>
          <w:lang w:val="uk-UA"/>
        </w:rPr>
      </w:pPr>
      <w:r w:rsidRPr="001163BA">
        <w:rPr>
          <w:sz w:val="28"/>
          <w:szCs w:val="28"/>
          <w:lang w:val="uk-UA"/>
        </w:rPr>
        <w:t>УДК</w:t>
      </w:r>
      <w:r w:rsidR="006741F4">
        <w:rPr>
          <w:sz w:val="28"/>
          <w:szCs w:val="28"/>
          <w:lang w:val="uk-UA"/>
        </w:rPr>
        <w:t xml:space="preserve"> </w:t>
      </w:r>
      <w:r w:rsidR="006741F4">
        <w:rPr>
          <w:sz w:val="28"/>
          <w:szCs w:val="28"/>
        </w:rPr>
        <w:t>336.114(629.7</w:t>
      </w:r>
      <w:bookmarkStart w:id="0" w:name="_GoBack"/>
      <w:bookmarkEnd w:id="0"/>
      <w:r w:rsidR="006741F4" w:rsidRPr="006741F4">
        <w:rPr>
          <w:sz w:val="28"/>
          <w:szCs w:val="28"/>
        </w:rPr>
        <w:t>)</w:t>
      </w:r>
    </w:p>
    <w:p w:rsidR="001163BA" w:rsidRPr="0054201D" w:rsidRDefault="0054201D" w:rsidP="0054201D">
      <w:pPr>
        <w:shd w:val="clear" w:color="auto" w:fill="FFFFFF"/>
        <w:spacing w:before="120" w:after="120"/>
        <w:jc w:val="center"/>
        <w:rPr>
          <w:b/>
          <w:sz w:val="28"/>
          <w:szCs w:val="28"/>
          <w:lang w:val="uk-UA"/>
        </w:rPr>
      </w:pPr>
      <w:r w:rsidRPr="0054201D">
        <w:rPr>
          <w:b/>
          <w:sz w:val="28"/>
          <w:szCs w:val="28"/>
          <w:lang w:val="uk-UA"/>
        </w:rPr>
        <w:t>ЛІЗІНГ ЯК СПОСІБ ФУНКЦІОНУВАННЯ ТА МОЖЛИВІСТЬ РОЗВИТКУ УКРАЇНСЬКОЇ АВІАЦІЙНОЇ ПРОМИСЛОВОСТІ</w:t>
      </w:r>
    </w:p>
    <w:p w:rsidR="001163BA" w:rsidRDefault="001163BA" w:rsidP="00F60BA8">
      <w:pPr>
        <w:ind w:firstLine="567"/>
        <w:jc w:val="center"/>
        <w:rPr>
          <w:i/>
          <w:sz w:val="28"/>
          <w:szCs w:val="28"/>
          <w:lang w:val="uk-UA"/>
        </w:rPr>
      </w:pPr>
      <w:proofErr w:type="spellStart"/>
      <w:r w:rsidRPr="001163BA">
        <w:rPr>
          <w:sz w:val="28"/>
          <w:szCs w:val="28"/>
          <w:lang w:val="uk-UA"/>
        </w:rPr>
        <w:t>Ричка</w:t>
      </w:r>
      <w:proofErr w:type="spellEnd"/>
      <w:r w:rsidRPr="001163BA">
        <w:rPr>
          <w:sz w:val="28"/>
          <w:szCs w:val="28"/>
          <w:lang w:val="uk-UA"/>
        </w:rPr>
        <w:t xml:space="preserve"> М.А.</w:t>
      </w:r>
      <w:r>
        <w:rPr>
          <w:sz w:val="28"/>
          <w:szCs w:val="28"/>
          <w:lang w:val="uk-UA"/>
        </w:rPr>
        <w:t xml:space="preserve">, </w:t>
      </w:r>
      <w:r w:rsidRPr="002B2956">
        <w:rPr>
          <w:i/>
          <w:sz w:val="28"/>
          <w:szCs w:val="28"/>
        </w:rPr>
        <w:t>к.</w:t>
      </w:r>
      <w:r>
        <w:rPr>
          <w:i/>
          <w:sz w:val="28"/>
          <w:szCs w:val="28"/>
          <w:lang w:val="uk-UA"/>
        </w:rPr>
        <w:t>е</w:t>
      </w:r>
      <w:r w:rsidRPr="002B2956">
        <w:rPr>
          <w:i/>
          <w:sz w:val="28"/>
          <w:szCs w:val="28"/>
        </w:rPr>
        <w:t>.н., доцент</w:t>
      </w:r>
    </w:p>
    <w:p w:rsidR="001163BA" w:rsidRPr="002B2956" w:rsidRDefault="001163BA" w:rsidP="00F60BA8">
      <w:pPr>
        <w:ind w:firstLine="567"/>
        <w:jc w:val="center"/>
        <w:rPr>
          <w:i/>
          <w:sz w:val="28"/>
          <w:szCs w:val="28"/>
        </w:rPr>
      </w:pPr>
      <w:proofErr w:type="spellStart"/>
      <w:r w:rsidRPr="002B2956">
        <w:rPr>
          <w:i/>
          <w:sz w:val="28"/>
          <w:szCs w:val="28"/>
        </w:rPr>
        <w:t>кафедри</w:t>
      </w:r>
      <w:proofErr w:type="spellEnd"/>
      <w:r w:rsidRPr="002B2956">
        <w:rPr>
          <w:i/>
          <w:sz w:val="28"/>
          <w:szCs w:val="28"/>
        </w:rPr>
        <w:t xml:space="preserve"> </w:t>
      </w:r>
      <w:proofErr w:type="spellStart"/>
      <w:r w:rsidRPr="002B2956">
        <w:rPr>
          <w:i/>
          <w:sz w:val="28"/>
          <w:szCs w:val="28"/>
        </w:rPr>
        <w:t>міжнародних</w:t>
      </w:r>
      <w:proofErr w:type="spellEnd"/>
      <w:r w:rsidRPr="002B2956">
        <w:rPr>
          <w:i/>
          <w:sz w:val="28"/>
          <w:szCs w:val="28"/>
        </w:rPr>
        <w:t xml:space="preserve"> </w:t>
      </w:r>
      <w:proofErr w:type="spellStart"/>
      <w:r w:rsidRPr="002B2956">
        <w:rPr>
          <w:i/>
          <w:sz w:val="28"/>
          <w:szCs w:val="28"/>
        </w:rPr>
        <w:t>економічних</w:t>
      </w:r>
      <w:proofErr w:type="spellEnd"/>
      <w:r w:rsidRPr="002B2956">
        <w:rPr>
          <w:i/>
          <w:sz w:val="28"/>
          <w:szCs w:val="28"/>
        </w:rPr>
        <w:t xml:space="preserve"> </w:t>
      </w:r>
      <w:proofErr w:type="spellStart"/>
      <w:r w:rsidRPr="002B2956">
        <w:rPr>
          <w:i/>
          <w:sz w:val="28"/>
          <w:szCs w:val="28"/>
        </w:rPr>
        <w:t>відносин</w:t>
      </w:r>
      <w:proofErr w:type="spellEnd"/>
      <w:r w:rsidRPr="002B2956">
        <w:rPr>
          <w:i/>
          <w:sz w:val="28"/>
          <w:szCs w:val="28"/>
        </w:rPr>
        <w:t xml:space="preserve"> і </w:t>
      </w:r>
      <w:proofErr w:type="spellStart"/>
      <w:r w:rsidRPr="002B2956">
        <w:rPr>
          <w:i/>
          <w:sz w:val="28"/>
          <w:szCs w:val="28"/>
        </w:rPr>
        <w:t>бізнесу</w:t>
      </w:r>
      <w:proofErr w:type="spellEnd"/>
    </w:p>
    <w:p w:rsidR="001163BA" w:rsidRDefault="001163BA" w:rsidP="00F60BA8">
      <w:pPr>
        <w:ind w:firstLine="567"/>
        <w:jc w:val="center"/>
        <w:rPr>
          <w:i/>
          <w:sz w:val="28"/>
          <w:szCs w:val="28"/>
          <w:lang w:val="uk-UA"/>
        </w:rPr>
      </w:pPr>
      <w:proofErr w:type="spellStart"/>
      <w:r w:rsidRPr="002B2956">
        <w:rPr>
          <w:i/>
          <w:sz w:val="28"/>
          <w:szCs w:val="28"/>
        </w:rPr>
        <w:t>Інституту</w:t>
      </w:r>
      <w:proofErr w:type="spellEnd"/>
      <w:r w:rsidRPr="002B2956">
        <w:rPr>
          <w:i/>
          <w:sz w:val="28"/>
          <w:szCs w:val="28"/>
        </w:rPr>
        <w:t xml:space="preserve"> </w:t>
      </w:r>
      <w:proofErr w:type="spellStart"/>
      <w:r w:rsidRPr="002B2956">
        <w:rPr>
          <w:i/>
          <w:sz w:val="28"/>
          <w:szCs w:val="28"/>
        </w:rPr>
        <w:t>міжнародних</w:t>
      </w:r>
      <w:proofErr w:type="spellEnd"/>
      <w:r w:rsidRPr="002B2956">
        <w:rPr>
          <w:i/>
          <w:sz w:val="28"/>
          <w:szCs w:val="28"/>
        </w:rPr>
        <w:t xml:space="preserve"> </w:t>
      </w:r>
      <w:proofErr w:type="spellStart"/>
      <w:r w:rsidRPr="002B2956">
        <w:rPr>
          <w:i/>
          <w:sz w:val="28"/>
          <w:szCs w:val="28"/>
        </w:rPr>
        <w:t>відносин</w:t>
      </w:r>
      <w:proofErr w:type="spellEnd"/>
      <w:r>
        <w:rPr>
          <w:i/>
          <w:sz w:val="28"/>
          <w:szCs w:val="28"/>
          <w:lang w:val="uk-UA"/>
        </w:rPr>
        <w:t xml:space="preserve"> НАУ</w:t>
      </w:r>
    </w:p>
    <w:p w:rsidR="001163BA" w:rsidRPr="00F60BA8" w:rsidRDefault="001163BA" w:rsidP="00F60BA8">
      <w:pPr>
        <w:ind w:firstLine="567"/>
        <w:jc w:val="center"/>
        <w:rPr>
          <w:i/>
          <w:sz w:val="28"/>
          <w:szCs w:val="28"/>
        </w:rPr>
      </w:pPr>
      <w:r>
        <w:rPr>
          <w:i/>
          <w:sz w:val="28"/>
          <w:szCs w:val="28"/>
          <w:lang w:val="en-US"/>
        </w:rPr>
        <w:t>marina</w:t>
      </w:r>
      <w:r w:rsidRPr="00F60BA8">
        <w:rPr>
          <w:i/>
          <w:sz w:val="28"/>
          <w:szCs w:val="28"/>
        </w:rPr>
        <w:t>_</w:t>
      </w:r>
      <w:r>
        <w:rPr>
          <w:i/>
          <w:sz w:val="28"/>
          <w:szCs w:val="28"/>
          <w:lang w:val="en-US"/>
        </w:rPr>
        <w:t>r</w:t>
      </w:r>
      <w:r w:rsidRPr="00F60BA8">
        <w:rPr>
          <w:i/>
          <w:sz w:val="28"/>
          <w:szCs w:val="28"/>
        </w:rPr>
        <w:t>@</w:t>
      </w:r>
      <w:r>
        <w:rPr>
          <w:i/>
          <w:sz w:val="28"/>
          <w:szCs w:val="28"/>
          <w:lang w:val="en-US"/>
        </w:rPr>
        <w:t>meta</w:t>
      </w:r>
      <w:r w:rsidRPr="00F60BA8">
        <w:rPr>
          <w:i/>
          <w:sz w:val="28"/>
          <w:szCs w:val="28"/>
        </w:rPr>
        <w:t>.</w:t>
      </w:r>
      <w:proofErr w:type="spellStart"/>
      <w:r>
        <w:rPr>
          <w:i/>
          <w:sz w:val="28"/>
          <w:szCs w:val="28"/>
          <w:lang w:val="en-US"/>
        </w:rPr>
        <w:t>ua</w:t>
      </w:r>
      <w:proofErr w:type="spellEnd"/>
    </w:p>
    <w:p w:rsidR="001163BA" w:rsidRPr="001163BA" w:rsidRDefault="001163BA" w:rsidP="00F60BA8">
      <w:pPr>
        <w:shd w:val="clear" w:color="auto" w:fill="FFFFFF"/>
        <w:ind w:firstLine="709"/>
        <w:jc w:val="both"/>
        <w:rPr>
          <w:sz w:val="28"/>
          <w:szCs w:val="28"/>
          <w:lang w:val="uk-UA"/>
        </w:rPr>
      </w:pPr>
    </w:p>
    <w:p w:rsidR="001163BA" w:rsidRPr="001163BA" w:rsidRDefault="001163BA" w:rsidP="00F60BA8">
      <w:pPr>
        <w:shd w:val="clear" w:color="auto" w:fill="FFFFFF"/>
        <w:ind w:firstLine="709"/>
        <w:jc w:val="both"/>
        <w:rPr>
          <w:sz w:val="28"/>
          <w:szCs w:val="28"/>
          <w:lang w:val="uk-UA"/>
        </w:rPr>
      </w:pPr>
      <w:r w:rsidRPr="001163BA">
        <w:rPr>
          <w:sz w:val="28"/>
          <w:szCs w:val="28"/>
          <w:lang w:val="uk-UA"/>
        </w:rPr>
        <w:t xml:space="preserve">Одним із найефективніших важелів економічного регулювання авіатранспортного фінансування є комерційна співпраця між авіакомпаніями. В комерційних угодах обов’язковим елементом є розрахунки. Кожна авіакомпанія укладає угоди про надання послуг (перевезення пасажирів, вантажу, багажу тощо).  Ці угоди є різноманітними: агентська угода про продаж авіаперевезень, угода про чартер повітряного судна, угода про </w:t>
      </w:r>
      <w:proofErr w:type="spellStart"/>
      <w:r w:rsidRPr="001163BA">
        <w:rPr>
          <w:sz w:val="28"/>
          <w:szCs w:val="28"/>
          <w:lang w:val="uk-UA"/>
        </w:rPr>
        <w:t>інтерлайн</w:t>
      </w:r>
      <w:proofErr w:type="spellEnd"/>
      <w:r w:rsidRPr="001163BA">
        <w:rPr>
          <w:sz w:val="28"/>
          <w:szCs w:val="28"/>
          <w:lang w:val="uk-UA"/>
        </w:rPr>
        <w:t xml:space="preserve"> перевезення, </w:t>
      </w:r>
      <w:proofErr w:type="spellStart"/>
      <w:r w:rsidRPr="001163BA">
        <w:rPr>
          <w:sz w:val="28"/>
          <w:szCs w:val="28"/>
          <w:lang w:val="uk-UA"/>
        </w:rPr>
        <w:t>код-шерінг</w:t>
      </w:r>
      <w:proofErr w:type="spellEnd"/>
      <w:r w:rsidRPr="001163BA">
        <w:rPr>
          <w:sz w:val="28"/>
          <w:szCs w:val="28"/>
          <w:lang w:val="uk-UA"/>
        </w:rPr>
        <w:t>, угода про «</w:t>
      </w:r>
      <w:proofErr w:type="spellStart"/>
      <w:r w:rsidRPr="001163BA">
        <w:rPr>
          <w:sz w:val="28"/>
          <w:szCs w:val="28"/>
          <w:lang w:val="uk-UA"/>
        </w:rPr>
        <w:t>спец-прорейти</w:t>
      </w:r>
      <w:proofErr w:type="spellEnd"/>
      <w:r w:rsidRPr="001163BA">
        <w:rPr>
          <w:sz w:val="28"/>
          <w:szCs w:val="28"/>
          <w:lang w:val="uk-UA"/>
        </w:rPr>
        <w:t xml:space="preserve">», </w:t>
      </w:r>
      <w:proofErr w:type="spellStart"/>
      <w:r w:rsidRPr="001163BA">
        <w:rPr>
          <w:sz w:val="28"/>
          <w:szCs w:val="28"/>
          <w:lang w:val="uk-UA"/>
        </w:rPr>
        <w:t>пульні</w:t>
      </w:r>
      <w:proofErr w:type="spellEnd"/>
      <w:r w:rsidRPr="001163BA">
        <w:rPr>
          <w:sz w:val="28"/>
          <w:szCs w:val="28"/>
          <w:lang w:val="uk-UA"/>
        </w:rPr>
        <w:t xml:space="preserve"> угоди, угода про взаємне надання послуг та угода про д</w:t>
      </w:r>
      <w:r w:rsidR="009D406E">
        <w:rPr>
          <w:sz w:val="28"/>
          <w:szCs w:val="28"/>
          <w:lang w:val="uk-UA"/>
        </w:rPr>
        <w:t>оступ до системи бронювання [1</w:t>
      </w:r>
      <w:r w:rsidRPr="001163BA">
        <w:rPr>
          <w:sz w:val="28"/>
          <w:szCs w:val="28"/>
          <w:lang w:val="uk-UA"/>
        </w:rPr>
        <w:t xml:space="preserve">, С. 51.98–51.104]. </w:t>
      </w:r>
    </w:p>
    <w:p w:rsidR="001163BA" w:rsidRPr="001163BA" w:rsidRDefault="001163BA" w:rsidP="00F60BA8">
      <w:pPr>
        <w:shd w:val="clear" w:color="auto" w:fill="FFFFFF"/>
        <w:ind w:firstLine="709"/>
        <w:jc w:val="both"/>
        <w:rPr>
          <w:sz w:val="28"/>
          <w:szCs w:val="28"/>
          <w:lang w:val="uk-UA"/>
        </w:rPr>
      </w:pPr>
      <w:r w:rsidRPr="001163BA">
        <w:rPr>
          <w:sz w:val="28"/>
          <w:szCs w:val="28"/>
          <w:lang w:val="uk-UA"/>
        </w:rPr>
        <w:t xml:space="preserve">Сучасні механізми управління фінансовими ресурсами вимагають взаємодії з ринком фінансових послуг. Таким чином,  фінансовий ринок України та авіаційні підприємства мають тісно співпрацювати. Фінансове забезпечення авіабудівної галузі України здійснюється відповідно до Положення про Державний спеціалізований фонд фінансування загальнодержавних витрат на авіаційну діяльність та участь України в міжнародних авіаційних організаціях. Таке фінансування передбачене у межах коштів, що надходять до спеціального фонду державного бюджету відповідного року. Зазначений фонд наповнюється за рахунок державних зборів, добровільних внесків та інших надходжень згідно з Положенням про Державний спеціалізований фонд. Але ці кошти не забезпечують необхідний обсяг для ефективного функціонування та розвитку галузі. Тому вітчизняним підприємствам потрібно знаходити інші додаткові джерела фінансування. Вони змушені користуватися послугами фінансових посередників для залучення додаткових тимчасово вільних коштів третьої сторони, а також пропонувати послуги для авіапідприємств. </w:t>
      </w:r>
    </w:p>
    <w:p w:rsidR="001163BA" w:rsidRPr="001163BA" w:rsidRDefault="001163BA" w:rsidP="00F60BA8">
      <w:pPr>
        <w:shd w:val="clear" w:color="auto" w:fill="FFFFFF"/>
        <w:ind w:firstLine="709"/>
        <w:jc w:val="both"/>
        <w:rPr>
          <w:sz w:val="28"/>
          <w:szCs w:val="28"/>
          <w:lang w:val="uk-UA"/>
        </w:rPr>
      </w:pPr>
      <w:r w:rsidRPr="001163BA">
        <w:rPr>
          <w:sz w:val="28"/>
          <w:szCs w:val="28"/>
          <w:lang w:val="uk-UA"/>
        </w:rPr>
        <w:t>Найпопулярнішим способом залучення коштів є банківські кредити. Переважними користувачами цих кредитів є аеропорти, які становлять невід’ємний підрозділ авіа</w:t>
      </w:r>
      <w:r w:rsidR="009D406E">
        <w:rPr>
          <w:sz w:val="28"/>
          <w:szCs w:val="28"/>
          <w:lang w:val="uk-UA"/>
        </w:rPr>
        <w:t>ційної інфраструктури України [</w:t>
      </w:r>
      <w:r w:rsidRPr="001163BA">
        <w:rPr>
          <w:sz w:val="28"/>
          <w:szCs w:val="28"/>
          <w:lang w:val="uk-UA"/>
        </w:rPr>
        <w:t xml:space="preserve">2, С. 51.79–51.82]. </w:t>
      </w:r>
    </w:p>
    <w:p w:rsidR="001163BA" w:rsidRPr="001163BA" w:rsidRDefault="001163BA" w:rsidP="00F60BA8">
      <w:pPr>
        <w:shd w:val="clear" w:color="auto" w:fill="FFFFFF"/>
        <w:ind w:firstLine="709"/>
        <w:jc w:val="both"/>
        <w:rPr>
          <w:sz w:val="28"/>
          <w:szCs w:val="28"/>
          <w:lang w:val="uk-UA"/>
        </w:rPr>
      </w:pPr>
      <w:r w:rsidRPr="001163BA">
        <w:rPr>
          <w:sz w:val="28"/>
          <w:szCs w:val="28"/>
          <w:lang w:val="uk-UA"/>
        </w:rPr>
        <w:t xml:space="preserve">Державне кредитування у стратегічно важливі галузі під низький відсоток є недостатньо налагодженим механізмом, на противагу закордонним авіаційним галузям. А саме цей механізм фінансування може надати значний поштовх вітчизняної авіакосмічної галузі України для розвитку, що через певний період часу принесе значні прибутки в бюджет. Налагодження механізму податкового інвестиційного кредиту, тобто сплата податку на додану вартість, дуже обтяжує ввезення закордонної техніки та придбання вітчизняної. З огляду на це можемо зазначити, що розвитку української </w:t>
      </w:r>
      <w:r w:rsidRPr="001163BA">
        <w:rPr>
          <w:sz w:val="28"/>
          <w:szCs w:val="28"/>
          <w:lang w:val="uk-UA"/>
        </w:rPr>
        <w:lastRenderedPageBreak/>
        <w:t>авіаційної промисловості може посприяти податковий</w:t>
      </w:r>
      <w:r w:rsidR="009D406E">
        <w:rPr>
          <w:sz w:val="28"/>
          <w:szCs w:val="28"/>
          <w:lang w:val="uk-UA"/>
        </w:rPr>
        <w:t xml:space="preserve"> вексель на тривалий період [3</w:t>
      </w:r>
      <w:r w:rsidRPr="001163BA">
        <w:rPr>
          <w:sz w:val="28"/>
          <w:szCs w:val="28"/>
          <w:lang w:val="uk-UA"/>
        </w:rPr>
        <w:t>, С. 31–38].</w:t>
      </w:r>
    </w:p>
    <w:p w:rsidR="001163BA" w:rsidRPr="001163BA" w:rsidRDefault="001163BA" w:rsidP="00F60BA8">
      <w:pPr>
        <w:shd w:val="clear" w:color="auto" w:fill="FFFFFF"/>
        <w:ind w:firstLine="709"/>
        <w:jc w:val="both"/>
        <w:rPr>
          <w:spacing w:val="-2"/>
          <w:sz w:val="28"/>
          <w:szCs w:val="28"/>
          <w:lang w:val="uk-UA"/>
        </w:rPr>
      </w:pPr>
      <w:r w:rsidRPr="001163BA">
        <w:rPr>
          <w:spacing w:val="-2"/>
          <w:sz w:val="28"/>
          <w:szCs w:val="28"/>
          <w:lang w:val="uk-UA"/>
        </w:rPr>
        <w:t xml:space="preserve">Підприємства авіабудівної галузі належать до інститутів </w:t>
      </w:r>
      <w:proofErr w:type="spellStart"/>
      <w:r w:rsidRPr="001163BA">
        <w:rPr>
          <w:spacing w:val="-2"/>
          <w:sz w:val="28"/>
          <w:szCs w:val="28"/>
          <w:lang w:val="uk-UA"/>
        </w:rPr>
        <w:t>позафінансової</w:t>
      </w:r>
      <w:proofErr w:type="spellEnd"/>
      <w:r w:rsidRPr="001163BA">
        <w:rPr>
          <w:spacing w:val="-2"/>
          <w:sz w:val="28"/>
          <w:szCs w:val="28"/>
          <w:lang w:val="uk-UA"/>
        </w:rPr>
        <w:t xml:space="preserve"> сфери. На фінансовому ринку, випускаючи деякі цінні папери, вони є емітентом та споживачем фінансових послуг – страхування, кредитування та лізингових операцій. Поповнення оборотних коштів можливе через факторинг, франчайзинг, інвестиційну діяльність, котирування цінних паперів та їхній випуск, консультаційні послуги, валютні операції, розрах</w:t>
      </w:r>
      <w:r w:rsidR="009D406E">
        <w:rPr>
          <w:spacing w:val="-2"/>
          <w:sz w:val="28"/>
          <w:szCs w:val="28"/>
          <w:lang w:val="uk-UA"/>
        </w:rPr>
        <w:t>унково-платіжні операції тощо [</w:t>
      </w:r>
      <w:r w:rsidRPr="001163BA">
        <w:rPr>
          <w:spacing w:val="-2"/>
          <w:sz w:val="28"/>
          <w:szCs w:val="28"/>
          <w:lang w:val="uk-UA"/>
        </w:rPr>
        <w:t xml:space="preserve">2, С. 51.79–51.82]. </w:t>
      </w:r>
    </w:p>
    <w:p w:rsidR="001163BA" w:rsidRPr="001163BA" w:rsidRDefault="001163BA" w:rsidP="00F60BA8">
      <w:pPr>
        <w:shd w:val="clear" w:color="auto" w:fill="FFFFFF"/>
        <w:ind w:firstLine="709"/>
        <w:jc w:val="both"/>
        <w:rPr>
          <w:spacing w:val="4"/>
          <w:sz w:val="28"/>
          <w:szCs w:val="28"/>
          <w:lang w:val="uk-UA"/>
        </w:rPr>
      </w:pPr>
      <w:r w:rsidRPr="001163BA">
        <w:rPr>
          <w:spacing w:val="4"/>
          <w:sz w:val="28"/>
          <w:szCs w:val="28"/>
          <w:lang w:val="uk-UA"/>
        </w:rPr>
        <w:t xml:space="preserve">Одним з ефективних джерел інвестування фінансових інститутів і держави є механізм лізингу. Як і в усьому світі загалом, у нас воно реалізується на </w:t>
      </w:r>
      <w:proofErr w:type="spellStart"/>
      <w:r w:rsidRPr="001163BA">
        <w:rPr>
          <w:spacing w:val="4"/>
          <w:sz w:val="28"/>
          <w:szCs w:val="28"/>
          <w:lang w:val="uk-UA"/>
        </w:rPr>
        <w:t>авіавироби</w:t>
      </w:r>
      <w:proofErr w:type="spellEnd"/>
      <w:r w:rsidRPr="001163BA">
        <w:rPr>
          <w:spacing w:val="4"/>
          <w:sz w:val="28"/>
          <w:szCs w:val="28"/>
          <w:lang w:val="uk-UA"/>
        </w:rPr>
        <w:t xml:space="preserve"> з довгим інвестиційним циклом. У такому інвестуванні, як правило, ставки дорівнюють 5-6 % річних на 10-15 років. Використання лізингу здійснюється для поповнення і оновлення парків транспортних засобів </w:t>
      </w:r>
      <w:r w:rsidR="009D406E">
        <w:rPr>
          <w:spacing w:val="4"/>
          <w:sz w:val="28"/>
          <w:szCs w:val="28"/>
          <w:lang w:val="uk-UA"/>
        </w:rPr>
        <w:t>і технологічного обладнання [4; 5</w:t>
      </w:r>
      <w:r w:rsidRPr="001163BA">
        <w:rPr>
          <w:spacing w:val="4"/>
          <w:sz w:val="28"/>
          <w:szCs w:val="28"/>
          <w:lang w:val="uk-UA"/>
        </w:rPr>
        <w:t xml:space="preserve">, С. 46–54]. </w:t>
      </w:r>
    </w:p>
    <w:p w:rsidR="001163BA" w:rsidRPr="001163BA" w:rsidRDefault="001163BA" w:rsidP="00F60BA8">
      <w:pPr>
        <w:shd w:val="clear" w:color="auto" w:fill="FFFFFF"/>
        <w:ind w:firstLine="709"/>
        <w:jc w:val="both"/>
        <w:rPr>
          <w:spacing w:val="-4"/>
          <w:sz w:val="28"/>
          <w:szCs w:val="28"/>
          <w:lang w:val="uk-UA"/>
        </w:rPr>
      </w:pPr>
      <w:r w:rsidRPr="001163BA">
        <w:rPr>
          <w:spacing w:val="-4"/>
          <w:sz w:val="28"/>
          <w:szCs w:val="28"/>
          <w:lang w:val="uk-UA"/>
        </w:rPr>
        <w:t>Вітчизняні авіабудівні компанії можуть постачати продукцію лише за передплатою. Це відбувається через нестачу обігових коштів. Однак для національних підприємств така форма розрахунку є неможливою, що призводить до купівлі закордонної техніки на умовах лізингу. Єдина лізингова компанія надає можливість полегшити формування портфеля замовлень через оплату його за рахунок власних і залучених коштів, а потім надати пе</w:t>
      </w:r>
      <w:r w:rsidR="009D406E">
        <w:rPr>
          <w:spacing w:val="-4"/>
          <w:sz w:val="28"/>
          <w:szCs w:val="28"/>
          <w:lang w:val="uk-UA"/>
        </w:rPr>
        <w:t>ревізникам техніку у лізинг</w:t>
      </w:r>
      <w:r w:rsidRPr="001163BA">
        <w:rPr>
          <w:spacing w:val="-4"/>
          <w:sz w:val="28"/>
          <w:szCs w:val="28"/>
          <w:lang w:val="uk-UA"/>
        </w:rPr>
        <w:t xml:space="preserve">. </w:t>
      </w:r>
    </w:p>
    <w:p w:rsidR="001163BA" w:rsidRPr="001163BA" w:rsidRDefault="001163BA" w:rsidP="00F60BA8">
      <w:pPr>
        <w:shd w:val="clear" w:color="auto" w:fill="FFFFFF"/>
        <w:ind w:firstLine="709"/>
        <w:jc w:val="both"/>
        <w:rPr>
          <w:sz w:val="28"/>
          <w:szCs w:val="28"/>
          <w:lang w:val="uk-UA"/>
        </w:rPr>
      </w:pPr>
      <w:r w:rsidRPr="001163BA">
        <w:rPr>
          <w:sz w:val="28"/>
          <w:szCs w:val="28"/>
          <w:lang w:val="uk-UA"/>
        </w:rPr>
        <w:t>Як засвідчує українська практика, лізингові розрахунки, мають позитивний ефект. Цілеспрямоване формування організаційно-фінансових механізмів забезпечує виробництво і передачу в експлуатацію авіаційної техніки таких підприємств, як Харківське державне авіаційне виробниче підприємство, «АНТК ім. </w:t>
      </w:r>
      <w:proofErr w:type="gramStart"/>
      <w:r w:rsidRPr="001163BA">
        <w:rPr>
          <w:sz w:val="28"/>
          <w:szCs w:val="28"/>
          <w:lang w:val="en-US"/>
        </w:rPr>
        <w:t>O</w:t>
      </w:r>
      <w:r w:rsidRPr="001163BA">
        <w:rPr>
          <w:sz w:val="28"/>
          <w:szCs w:val="28"/>
          <w:lang w:val="uk-UA"/>
        </w:rPr>
        <w:t>. </w:t>
      </w:r>
      <w:r w:rsidRPr="001163BA">
        <w:rPr>
          <w:sz w:val="28"/>
          <w:szCs w:val="28"/>
          <w:lang w:val="en-US"/>
        </w:rPr>
        <w:t>K</w:t>
      </w:r>
      <w:r w:rsidRPr="001163BA">
        <w:rPr>
          <w:sz w:val="28"/>
          <w:szCs w:val="28"/>
          <w:lang w:val="uk-UA"/>
        </w:rPr>
        <w:t>. Антон</w:t>
      </w:r>
      <w:r w:rsidR="009D406E">
        <w:rPr>
          <w:sz w:val="28"/>
          <w:szCs w:val="28"/>
          <w:lang w:val="uk-UA"/>
        </w:rPr>
        <w:t>ова», ВАТ «Мотор Січ» та інші [</w:t>
      </w:r>
      <w:r w:rsidRPr="001163BA">
        <w:rPr>
          <w:sz w:val="28"/>
          <w:szCs w:val="28"/>
          <w:lang w:val="uk-UA"/>
        </w:rPr>
        <w:t>2, С. 51.79–51.82].</w:t>
      </w:r>
      <w:proofErr w:type="gramEnd"/>
      <w:r w:rsidRPr="001163BA">
        <w:rPr>
          <w:sz w:val="28"/>
          <w:szCs w:val="28"/>
          <w:lang w:val="uk-UA"/>
        </w:rPr>
        <w:t xml:space="preserve"> </w:t>
      </w:r>
    </w:p>
    <w:p w:rsidR="001163BA" w:rsidRPr="001163BA" w:rsidRDefault="001163BA" w:rsidP="00F60BA8">
      <w:pPr>
        <w:shd w:val="clear" w:color="auto" w:fill="FFFFFF"/>
        <w:ind w:firstLine="709"/>
        <w:jc w:val="both"/>
        <w:rPr>
          <w:sz w:val="28"/>
          <w:szCs w:val="28"/>
          <w:lang w:val="uk-UA"/>
        </w:rPr>
      </w:pPr>
      <w:r w:rsidRPr="001163BA">
        <w:rPr>
          <w:sz w:val="28"/>
          <w:szCs w:val="28"/>
          <w:lang w:val="uk-UA"/>
        </w:rPr>
        <w:t>В Україні фінансовий лізинг визначений Кабінетом Міністрів України. Так, в Постанові КМУ №469 від 14.04.2004 р. «Про затвердження Порядку використання коштів державного бюджету, які виділяються на надання кредитів для здійснення операцій із фінансового лізингу авіаційної техніки» зазначені суми бюджетних коштів для лізингових компаній. Їх виділення здійснюють на тендерних умовах для надання кредитів під здійснення операцій з фінансового лізингу авіаційного вітчизняного виробника. Водночас чітко встановлено графік повернення  цих коштів на кр</w:t>
      </w:r>
      <w:r w:rsidR="0054201D">
        <w:rPr>
          <w:sz w:val="28"/>
          <w:szCs w:val="28"/>
          <w:lang w:val="uk-UA"/>
        </w:rPr>
        <w:t>едит до бюджету (див. табл. 1</w:t>
      </w:r>
      <w:r w:rsidRPr="001163BA">
        <w:rPr>
          <w:sz w:val="28"/>
          <w:szCs w:val="28"/>
          <w:lang w:val="uk-UA"/>
        </w:rPr>
        <w:t>.).</w:t>
      </w:r>
    </w:p>
    <w:p w:rsidR="001163BA" w:rsidRPr="001163BA" w:rsidRDefault="0054201D" w:rsidP="00F60BA8">
      <w:pPr>
        <w:shd w:val="clear" w:color="auto" w:fill="FFFFFF"/>
        <w:ind w:firstLine="709"/>
        <w:jc w:val="right"/>
        <w:rPr>
          <w:sz w:val="28"/>
          <w:szCs w:val="28"/>
          <w:lang w:val="uk-UA"/>
        </w:rPr>
      </w:pPr>
      <w:r>
        <w:rPr>
          <w:sz w:val="28"/>
          <w:szCs w:val="28"/>
          <w:lang w:val="uk-UA"/>
        </w:rPr>
        <w:t>Таблиця 1.</w:t>
      </w:r>
    </w:p>
    <w:p w:rsidR="001163BA" w:rsidRPr="001163BA" w:rsidRDefault="001163BA" w:rsidP="00F60BA8">
      <w:pPr>
        <w:shd w:val="clear" w:color="auto" w:fill="FFFFFF"/>
        <w:ind w:firstLine="709"/>
        <w:jc w:val="center"/>
        <w:rPr>
          <w:b/>
          <w:sz w:val="28"/>
          <w:szCs w:val="28"/>
          <w:lang w:val="uk-UA"/>
        </w:rPr>
      </w:pPr>
      <w:r w:rsidRPr="001163BA">
        <w:rPr>
          <w:b/>
          <w:sz w:val="28"/>
          <w:szCs w:val="28"/>
          <w:lang w:val="uk-UA"/>
        </w:rPr>
        <w:t>Графік повернення  коштів держбюджету на покриття кредиту від операцій із фінансового лізингу авіаційної техніки</w:t>
      </w:r>
    </w:p>
    <w:tbl>
      <w:tblPr>
        <w:tblW w:w="0" w:type="auto"/>
        <w:jc w:val="center"/>
        <w:tblInd w:w="-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5152"/>
      </w:tblGrid>
      <w:tr w:rsidR="001163BA" w:rsidRPr="009D406E" w:rsidTr="009D406E">
        <w:trPr>
          <w:jc w:val="center"/>
        </w:trPr>
        <w:tc>
          <w:tcPr>
            <w:tcW w:w="4392" w:type="dxa"/>
            <w:tcBorders>
              <w:bottom w:val="single" w:sz="4" w:space="0" w:color="auto"/>
            </w:tcBorders>
            <w:shd w:val="clear" w:color="auto" w:fill="E0E0E0"/>
            <w:vAlign w:val="center"/>
          </w:tcPr>
          <w:p w:rsidR="001163BA" w:rsidRPr="009D406E" w:rsidRDefault="001163BA" w:rsidP="00D63125">
            <w:pPr>
              <w:jc w:val="center"/>
              <w:rPr>
                <w:b/>
                <w:lang w:val="uk-UA"/>
              </w:rPr>
            </w:pPr>
            <w:r w:rsidRPr="009D406E">
              <w:rPr>
                <w:b/>
                <w:lang w:val="uk-UA"/>
              </w:rPr>
              <w:t xml:space="preserve">Строк повернення, </w:t>
            </w:r>
            <w:r w:rsidR="009D406E" w:rsidRPr="009D406E">
              <w:rPr>
                <w:b/>
                <w:lang w:val="uk-UA"/>
              </w:rPr>
              <w:t>р</w:t>
            </w:r>
            <w:r w:rsidRPr="009D406E">
              <w:rPr>
                <w:b/>
                <w:lang w:val="uk-UA"/>
              </w:rPr>
              <w:t>ік</w:t>
            </w:r>
          </w:p>
        </w:tc>
        <w:tc>
          <w:tcPr>
            <w:tcW w:w="5152" w:type="dxa"/>
            <w:tcBorders>
              <w:bottom w:val="single" w:sz="4" w:space="0" w:color="auto"/>
            </w:tcBorders>
            <w:shd w:val="clear" w:color="auto" w:fill="E0E0E0"/>
            <w:vAlign w:val="center"/>
          </w:tcPr>
          <w:p w:rsidR="001163BA" w:rsidRPr="009D406E" w:rsidRDefault="001163BA" w:rsidP="00D63125">
            <w:pPr>
              <w:jc w:val="center"/>
              <w:rPr>
                <w:b/>
                <w:lang w:val="uk-UA"/>
              </w:rPr>
            </w:pPr>
            <w:r w:rsidRPr="009D406E">
              <w:rPr>
                <w:b/>
                <w:lang w:val="uk-UA"/>
              </w:rPr>
              <w:t xml:space="preserve">Обсяг фінансових засобів у тис. </w:t>
            </w:r>
            <w:proofErr w:type="spellStart"/>
            <w:r w:rsidRPr="009D406E">
              <w:rPr>
                <w:b/>
                <w:lang w:val="uk-UA"/>
              </w:rPr>
              <w:t>грн</w:t>
            </w:r>
            <w:proofErr w:type="spellEnd"/>
          </w:p>
        </w:tc>
      </w:tr>
      <w:tr w:rsidR="001163BA" w:rsidRPr="009D406E" w:rsidTr="009D406E">
        <w:trPr>
          <w:jc w:val="center"/>
        </w:trPr>
        <w:tc>
          <w:tcPr>
            <w:tcW w:w="4392" w:type="dxa"/>
            <w:tcBorders>
              <w:top w:val="single" w:sz="4" w:space="0" w:color="auto"/>
              <w:left w:val="single" w:sz="4" w:space="0" w:color="auto"/>
            </w:tcBorders>
            <w:vAlign w:val="center"/>
          </w:tcPr>
          <w:p w:rsidR="001163BA" w:rsidRPr="009D406E" w:rsidRDefault="001163BA" w:rsidP="00F60BA8">
            <w:pPr>
              <w:ind w:firstLine="709"/>
              <w:jc w:val="center"/>
              <w:rPr>
                <w:lang w:val="uk-UA"/>
              </w:rPr>
            </w:pPr>
            <w:r w:rsidRPr="009D406E">
              <w:rPr>
                <w:lang w:val="uk-UA"/>
              </w:rPr>
              <w:t>2005</w:t>
            </w:r>
          </w:p>
        </w:tc>
        <w:tc>
          <w:tcPr>
            <w:tcW w:w="5152" w:type="dxa"/>
            <w:tcBorders>
              <w:top w:val="single" w:sz="4" w:space="0" w:color="auto"/>
              <w:right w:val="single" w:sz="4" w:space="0" w:color="auto"/>
            </w:tcBorders>
            <w:vAlign w:val="center"/>
          </w:tcPr>
          <w:p w:rsidR="001163BA" w:rsidRPr="009D406E" w:rsidRDefault="001163BA" w:rsidP="00F60BA8">
            <w:pPr>
              <w:ind w:firstLine="709"/>
              <w:jc w:val="center"/>
              <w:rPr>
                <w:lang w:val="uk-UA"/>
              </w:rPr>
            </w:pPr>
            <w:r w:rsidRPr="009D406E">
              <w:rPr>
                <w:lang w:val="uk-UA"/>
              </w:rPr>
              <w:t>7800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2006</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7800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2007</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7800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2008</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10800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lastRenderedPageBreak/>
              <w:t>2009</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10800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2010</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10800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2011</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10800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2012</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10800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2013</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10800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2014</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10800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2015</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10800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2016</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13200</w:t>
            </w:r>
          </w:p>
        </w:tc>
      </w:tr>
      <w:tr w:rsidR="001163BA" w:rsidRPr="009D406E" w:rsidTr="009D406E">
        <w:trPr>
          <w:jc w:val="center"/>
        </w:trPr>
        <w:tc>
          <w:tcPr>
            <w:tcW w:w="4392" w:type="dxa"/>
            <w:tcBorders>
              <w:left w:val="single" w:sz="4" w:space="0" w:color="auto"/>
            </w:tcBorders>
            <w:vAlign w:val="center"/>
          </w:tcPr>
          <w:p w:rsidR="001163BA" w:rsidRPr="009D406E" w:rsidRDefault="001163BA" w:rsidP="00F60BA8">
            <w:pPr>
              <w:ind w:firstLine="709"/>
              <w:jc w:val="center"/>
              <w:rPr>
                <w:lang w:val="uk-UA"/>
              </w:rPr>
            </w:pPr>
            <w:r w:rsidRPr="009D406E">
              <w:rPr>
                <w:lang w:val="uk-UA"/>
              </w:rPr>
              <w:t>2017</w:t>
            </w:r>
          </w:p>
        </w:tc>
        <w:tc>
          <w:tcPr>
            <w:tcW w:w="5152" w:type="dxa"/>
            <w:tcBorders>
              <w:right w:val="single" w:sz="4" w:space="0" w:color="auto"/>
            </w:tcBorders>
            <w:vAlign w:val="center"/>
          </w:tcPr>
          <w:p w:rsidR="001163BA" w:rsidRPr="009D406E" w:rsidRDefault="001163BA" w:rsidP="00F60BA8">
            <w:pPr>
              <w:ind w:firstLine="709"/>
              <w:jc w:val="center"/>
              <w:rPr>
                <w:lang w:val="uk-UA"/>
              </w:rPr>
            </w:pPr>
            <w:r w:rsidRPr="009D406E">
              <w:rPr>
                <w:lang w:val="uk-UA"/>
              </w:rPr>
              <w:t>13200</w:t>
            </w:r>
          </w:p>
        </w:tc>
      </w:tr>
      <w:tr w:rsidR="001163BA" w:rsidRPr="009D406E" w:rsidTr="009D406E">
        <w:trPr>
          <w:jc w:val="center"/>
        </w:trPr>
        <w:tc>
          <w:tcPr>
            <w:tcW w:w="4392" w:type="dxa"/>
            <w:tcBorders>
              <w:left w:val="single" w:sz="4" w:space="0" w:color="auto"/>
              <w:bottom w:val="single" w:sz="4" w:space="0" w:color="auto"/>
              <w:right w:val="single" w:sz="4" w:space="0" w:color="auto"/>
            </w:tcBorders>
            <w:vAlign w:val="center"/>
          </w:tcPr>
          <w:p w:rsidR="001163BA" w:rsidRPr="009D406E" w:rsidRDefault="001163BA" w:rsidP="00F60BA8">
            <w:pPr>
              <w:ind w:firstLine="709"/>
              <w:jc w:val="center"/>
              <w:rPr>
                <w:lang w:val="uk-UA"/>
              </w:rPr>
            </w:pPr>
            <w:r w:rsidRPr="009D406E">
              <w:rPr>
                <w:lang w:val="uk-UA"/>
              </w:rPr>
              <w:t>2018</w:t>
            </w:r>
          </w:p>
        </w:tc>
        <w:tc>
          <w:tcPr>
            <w:tcW w:w="5152" w:type="dxa"/>
            <w:tcBorders>
              <w:left w:val="single" w:sz="4" w:space="0" w:color="auto"/>
              <w:bottom w:val="single" w:sz="4" w:space="0" w:color="auto"/>
              <w:right w:val="single" w:sz="4" w:space="0" w:color="auto"/>
            </w:tcBorders>
            <w:vAlign w:val="center"/>
          </w:tcPr>
          <w:p w:rsidR="001163BA" w:rsidRPr="009D406E" w:rsidRDefault="001163BA" w:rsidP="00F60BA8">
            <w:pPr>
              <w:ind w:firstLine="709"/>
              <w:jc w:val="center"/>
              <w:rPr>
                <w:lang w:val="uk-UA"/>
              </w:rPr>
            </w:pPr>
            <w:r w:rsidRPr="009D406E">
              <w:rPr>
                <w:lang w:val="uk-UA"/>
              </w:rPr>
              <w:t>13800</w:t>
            </w:r>
          </w:p>
        </w:tc>
      </w:tr>
    </w:tbl>
    <w:p w:rsidR="001163BA" w:rsidRPr="001163BA" w:rsidRDefault="001163BA" w:rsidP="00F60BA8">
      <w:pPr>
        <w:shd w:val="clear" w:color="auto" w:fill="FFFFFF"/>
        <w:ind w:firstLine="709"/>
        <w:jc w:val="both"/>
        <w:rPr>
          <w:sz w:val="28"/>
          <w:szCs w:val="28"/>
          <w:lang w:val="uk-UA"/>
        </w:rPr>
      </w:pPr>
      <w:r w:rsidRPr="001163BA">
        <w:rPr>
          <w:sz w:val="28"/>
          <w:szCs w:val="28"/>
          <w:lang w:val="uk-UA"/>
        </w:rPr>
        <w:t xml:space="preserve">                         Джерело: [146, С. 46–54] </w:t>
      </w:r>
    </w:p>
    <w:p w:rsidR="001163BA" w:rsidRPr="001163BA" w:rsidRDefault="001163BA" w:rsidP="00F60BA8">
      <w:pPr>
        <w:shd w:val="clear" w:color="auto" w:fill="FFFFFF"/>
        <w:ind w:firstLine="709"/>
        <w:jc w:val="both"/>
        <w:rPr>
          <w:sz w:val="28"/>
          <w:szCs w:val="28"/>
          <w:lang w:val="uk-UA"/>
        </w:rPr>
      </w:pPr>
    </w:p>
    <w:p w:rsidR="001163BA" w:rsidRPr="001163BA" w:rsidRDefault="001163BA" w:rsidP="00F60BA8">
      <w:pPr>
        <w:shd w:val="clear" w:color="auto" w:fill="FFFFFF"/>
        <w:ind w:firstLine="709"/>
        <w:jc w:val="both"/>
        <w:rPr>
          <w:sz w:val="28"/>
          <w:szCs w:val="28"/>
          <w:lang w:val="uk-UA"/>
        </w:rPr>
      </w:pPr>
      <w:r w:rsidRPr="001163BA">
        <w:rPr>
          <w:sz w:val="28"/>
          <w:szCs w:val="28"/>
          <w:lang w:val="uk-UA"/>
        </w:rPr>
        <w:t xml:space="preserve">Лізинг є способом функціонування та можливості подальшого розвитку української авіаційної промисловості. Літаки вітчизняного виробництва експлуатуються в нашій державі та в багатьох країнах світу. Але значна кількість національних авіаційних компаній не має можливості придбати нову вітчизняну авіатехніку й оновити авіапарк через відсутність достатніх фінансових ресурсів. </w:t>
      </w:r>
    </w:p>
    <w:p w:rsidR="001163BA" w:rsidRPr="001163BA" w:rsidRDefault="001163BA" w:rsidP="00F60BA8">
      <w:pPr>
        <w:ind w:firstLine="709"/>
        <w:jc w:val="both"/>
        <w:rPr>
          <w:sz w:val="28"/>
          <w:szCs w:val="28"/>
          <w:lang w:val="uk-UA"/>
        </w:rPr>
      </w:pPr>
      <w:r w:rsidRPr="001163BA">
        <w:rPr>
          <w:sz w:val="28"/>
          <w:szCs w:val="28"/>
          <w:lang w:val="uk-UA"/>
        </w:rPr>
        <w:t xml:space="preserve">Фактично єдиний ефективний шлях вирішення проблеми розвитку авіаційної галузі, розширенні виробництва авіакомпаній та оновленні авіаційного технопарку вбачається у лізингу. </w:t>
      </w:r>
      <w:proofErr w:type="spellStart"/>
      <w:r w:rsidRPr="001163BA">
        <w:rPr>
          <w:sz w:val="28"/>
          <w:szCs w:val="28"/>
        </w:rPr>
        <w:t>Надання</w:t>
      </w:r>
      <w:proofErr w:type="spellEnd"/>
      <w:r w:rsidRPr="001163BA">
        <w:rPr>
          <w:sz w:val="28"/>
          <w:szCs w:val="28"/>
        </w:rPr>
        <w:t xml:space="preserve"> </w:t>
      </w:r>
      <w:proofErr w:type="spellStart"/>
      <w:r w:rsidRPr="001163BA">
        <w:rPr>
          <w:sz w:val="28"/>
          <w:szCs w:val="28"/>
        </w:rPr>
        <w:t>невикористо</w:t>
      </w:r>
      <w:r w:rsidRPr="001163BA">
        <w:rPr>
          <w:sz w:val="28"/>
          <w:szCs w:val="28"/>
          <w:lang w:val="uk-UA"/>
        </w:rPr>
        <w:t>ву</w:t>
      </w:r>
      <w:r w:rsidRPr="001163BA">
        <w:rPr>
          <w:sz w:val="28"/>
          <w:szCs w:val="28"/>
        </w:rPr>
        <w:t>ваного</w:t>
      </w:r>
      <w:proofErr w:type="spellEnd"/>
      <w:r w:rsidRPr="001163BA">
        <w:rPr>
          <w:sz w:val="28"/>
          <w:szCs w:val="28"/>
        </w:rPr>
        <w:t xml:space="preserve"> парку </w:t>
      </w:r>
      <w:proofErr w:type="spellStart"/>
      <w:r w:rsidRPr="001163BA">
        <w:rPr>
          <w:sz w:val="28"/>
          <w:szCs w:val="28"/>
        </w:rPr>
        <w:t>повітряних</w:t>
      </w:r>
      <w:proofErr w:type="spellEnd"/>
      <w:r w:rsidRPr="001163BA">
        <w:rPr>
          <w:sz w:val="28"/>
          <w:szCs w:val="28"/>
        </w:rPr>
        <w:t xml:space="preserve"> суден у </w:t>
      </w:r>
      <w:proofErr w:type="spellStart"/>
      <w:proofErr w:type="gramStart"/>
      <w:r w:rsidRPr="001163BA">
        <w:rPr>
          <w:sz w:val="28"/>
          <w:szCs w:val="28"/>
        </w:rPr>
        <w:t>л</w:t>
      </w:r>
      <w:proofErr w:type="gramEnd"/>
      <w:r w:rsidRPr="001163BA">
        <w:rPr>
          <w:sz w:val="28"/>
          <w:szCs w:val="28"/>
        </w:rPr>
        <w:t>ізинг</w:t>
      </w:r>
      <w:proofErr w:type="spellEnd"/>
      <w:r w:rsidRPr="001163BA">
        <w:rPr>
          <w:sz w:val="28"/>
          <w:szCs w:val="28"/>
        </w:rPr>
        <w:t xml:space="preserve"> </w:t>
      </w:r>
      <w:r w:rsidRPr="001163BA">
        <w:rPr>
          <w:sz w:val="28"/>
          <w:szCs w:val="28"/>
          <w:lang w:val="uk-UA"/>
        </w:rPr>
        <w:t>–</w:t>
      </w:r>
      <w:r w:rsidRPr="001163BA">
        <w:rPr>
          <w:sz w:val="28"/>
          <w:szCs w:val="28"/>
        </w:rPr>
        <w:t xml:space="preserve">  </w:t>
      </w:r>
      <w:proofErr w:type="spellStart"/>
      <w:r w:rsidRPr="001163BA">
        <w:rPr>
          <w:sz w:val="28"/>
          <w:szCs w:val="28"/>
        </w:rPr>
        <w:t>перспективний</w:t>
      </w:r>
      <w:proofErr w:type="spellEnd"/>
      <w:r w:rsidRPr="001163BA">
        <w:rPr>
          <w:sz w:val="28"/>
          <w:szCs w:val="28"/>
        </w:rPr>
        <w:t xml:space="preserve"> шлях </w:t>
      </w:r>
      <w:proofErr w:type="spellStart"/>
      <w:r w:rsidRPr="001163BA">
        <w:rPr>
          <w:sz w:val="28"/>
          <w:szCs w:val="28"/>
        </w:rPr>
        <w:t>відтворення</w:t>
      </w:r>
      <w:proofErr w:type="spellEnd"/>
      <w:r w:rsidRPr="001163BA">
        <w:rPr>
          <w:sz w:val="28"/>
          <w:szCs w:val="28"/>
        </w:rPr>
        <w:t xml:space="preserve"> </w:t>
      </w:r>
      <w:proofErr w:type="spellStart"/>
      <w:r w:rsidRPr="001163BA">
        <w:rPr>
          <w:sz w:val="28"/>
          <w:szCs w:val="28"/>
        </w:rPr>
        <w:t>основних</w:t>
      </w:r>
      <w:proofErr w:type="spellEnd"/>
      <w:r w:rsidRPr="001163BA">
        <w:rPr>
          <w:sz w:val="28"/>
          <w:szCs w:val="28"/>
        </w:rPr>
        <w:t xml:space="preserve"> </w:t>
      </w:r>
      <w:proofErr w:type="spellStart"/>
      <w:r w:rsidRPr="001163BA">
        <w:rPr>
          <w:sz w:val="28"/>
          <w:szCs w:val="28"/>
        </w:rPr>
        <w:t>фондів</w:t>
      </w:r>
      <w:proofErr w:type="spellEnd"/>
      <w:r w:rsidRPr="001163BA">
        <w:rPr>
          <w:sz w:val="28"/>
          <w:szCs w:val="28"/>
        </w:rPr>
        <w:t xml:space="preserve"> </w:t>
      </w:r>
      <w:proofErr w:type="spellStart"/>
      <w:r w:rsidRPr="001163BA">
        <w:rPr>
          <w:sz w:val="28"/>
          <w:szCs w:val="28"/>
        </w:rPr>
        <w:t>авіакомпанії</w:t>
      </w:r>
      <w:proofErr w:type="spellEnd"/>
      <w:r w:rsidRPr="001163BA">
        <w:rPr>
          <w:sz w:val="28"/>
          <w:szCs w:val="28"/>
        </w:rPr>
        <w:t xml:space="preserve">. </w:t>
      </w:r>
      <w:proofErr w:type="spellStart"/>
      <w:r w:rsidRPr="001163BA">
        <w:rPr>
          <w:sz w:val="28"/>
          <w:szCs w:val="28"/>
        </w:rPr>
        <w:t>Лізинг</w:t>
      </w:r>
      <w:proofErr w:type="spellEnd"/>
      <w:r w:rsidRPr="001163BA">
        <w:rPr>
          <w:sz w:val="28"/>
          <w:szCs w:val="28"/>
        </w:rPr>
        <w:t xml:space="preserve"> як </w:t>
      </w:r>
      <w:proofErr w:type="spellStart"/>
      <w:r w:rsidRPr="001163BA">
        <w:rPr>
          <w:sz w:val="28"/>
          <w:szCs w:val="28"/>
        </w:rPr>
        <w:t>засіб</w:t>
      </w:r>
      <w:proofErr w:type="spellEnd"/>
      <w:r w:rsidRPr="001163BA">
        <w:rPr>
          <w:sz w:val="28"/>
          <w:szCs w:val="28"/>
        </w:rPr>
        <w:t xml:space="preserve"> </w:t>
      </w:r>
      <w:proofErr w:type="spellStart"/>
      <w:r w:rsidRPr="001163BA">
        <w:rPr>
          <w:sz w:val="28"/>
          <w:szCs w:val="28"/>
        </w:rPr>
        <w:t>оновлення</w:t>
      </w:r>
      <w:proofErr w:type="spellEnd"/>
      <w:r w:rsidRPr="001163BA">
        <w:rPr>
          <w:sz w:val="28"/>
          <w:szCs w:val="28"/>
        </w:rPr>
        <w:t xml:space="preserve"> </w:t>
      </w:r>
      <w:proofErr w:type="spellStart"/>
      <w:r w:rsidRPr="001163BA">
        <w:rPr>
          <w:sz w:val="28"/>
          <w:szCs w:val="28"/>
        </w:rPr>
        <w:t>основних</w:t>
      </w:r>
      <w:proofErr w:type="spellEnd"/>
      <w:r w:rsidRPr="001163BA">
        <w:rPr>
          <w:sz w:val="28"/>
          <w:szCs w:val="28"/>
        </w:rPr>
        <w:t xml:space="preserve"> </w:t>
      </w:r>
      <w:proofErr w:type="spellStart"/>
      <w:r w:rsidRPr="001163BA">
        <w:rPr>
          <w:sz w:val="28"/>
          <w:szCs w:val="28"/>
        </w:rPr>
        <w:t>фондів</w:t>
      </w:r>
      <w:proofErr w:type="spellEnd"/>
      <w:r w:rsidRPr="001163BA">
        <w:rPr>
          <w:sz w:val="28"/>
          <w:szCs w:val="28"/>
        </w:rPr>
        <w:t xml:space="preserve"> </w:t>
      </w:r>
      <w:proofErr w:type="spellStart"/>
      <w:r w:rsidRPr="001163BA">
        <w:rPr>
          <w:sz w:val="28"/>
          <w:szCs w:val="28"/>
        </w:rPr>
        <w:t>використовують</w:t>
      </w:r>
      <w:proofErr w:type="spellEnd"/>
      <w:r w:rsidRPr="001163BA">
        <w:rPr>
          <w:sz w:val="28"/>
          <w:szCs w:val="28"/>
        </w:rPr>
        <w:t xml:space="preserve"> у </w:t>
      </w:r>
      <w:proofErr w:type="spellStart"/>
      <w:r w:rsidRPr="001163BA">
        <w:rPr>
          <w:sz w:val="28"/>
          <w:szCs w:val="28"/>
        </w:rPr>
        <w:t>формі</w:t>
      </w:r>
      <w:proofErr w:type="spellEnd"/>
      <w:r w:rsidRPr="001163BA">
        <w:rPr>
          <w:sz w:val="28"/>
          <w:szCs w:val="28"/>
        </w:rPr>
        <w:t xml:space="preserve"> кредиту, </w:t>
      </w:r>
      <w:proofErr w:type="spellStart"/>
      <w:r w:rsidRPr="001163BA">
        <w:rPr>
          <w:sz w:val="28"/>
          <w:szCs w:val="28"/>
        </w:rPr>
        <w:t>оренди</w:t>
      </w:r>
      <w:proofErr w:type="spellEnd"/>
      <w:r w:rsidRPr="001163BA">
        <w:rPr>
          <w:sz w:val="28"/>
          <w:szCs w:val="28"/>
        </w:rPr>
        <w:t xml:space="preserve"> </w:t>
      </w:r>
      <w:proofErr w:type="spellStart"/>
      <w:r w:rsidRPr="001163BA">
        <w:rPr>
          <w:sz w:val="28"/>
          <w:szCs w:val="28"/>
        </w:rPr>
        <w:t>або</w:t>
      </w:r>
      <w:proofErr w:type="spellEnd"/>
      <w:r w:rsidRPr="001163BA">
        <w:rPr>
          <w:sz w:val="28"/>
          <w:szCs w:val="28"/>
        </w:rPr>
        <w:t xml:space="preserve"> у </w:t>
      </w:r>
      <w:proofErr w:type="spellStart"/>
      <w:r w:rsidRPr="001163BA">
        <w:rPr>
          <w:sz w:val="28"/>
          <w:szCs w:val="28"/>
        </w:rPr>
        <w:t>вигляді</w:t>
      </w:r>
      <w:proofErr w:type="spellEnd"/>
      <w:r w:rsidRPr="001163BA">
        <w:rPr>
          <w:sz w:val="28"/>
          <w:szCs w:val="28"/>
        </w:rPr>
        <w:t xml:space="preserve"> </w:t>
      </w:r>
      <w:proofErr w:type="spellStart"/>
      <w:r w:rsidRPr="001163BA">
        <w:rPr>
          <w:sz w:val="28"/>
          <w:szCs w:val="28"/>
        </w:rPr>
        <w:t>інвестиційної</w:t>
      </w:r>
      <w:proofErr w:type="spellEnd"/>
      <w:r w:rsidRPr="001163BA">
        <w:rPr>
          <w:sz w:val="28"/>
          <w:szCs w:val="28"/>
        </w:rPr>
        <w:t xml:space="preserve"> </w:t>
      </w:r>
      <w:proofErr w:type="spellStart"/>
      <w:r w:rsidRPr="001163BA">
        <w:rPr>
          <w:sz w:val="28"/>
          <w:szCs w:val="28"/>
        </w:rPr>
        <w:t>діяльності</w:t>
      </w:r>
      <w:proofErr w:type="spellEnd"/>
      <w:r w:rsidRPr="001163BA">
        <w:rPr>
          <w:sz w:val="28"/>
          <w:szCs w:val="28"/>
        </w:rPr>
        <w:t xml:space="preserve">. </w:t>
      </w:r>
    </w:p>
    <w:p w:rsidR="00D63125" w:rsidRDefault="00D63125" w:rsidP="00F60BA8">
      <w:pPr>
        <w:rPr>
          <w:b/>
          <w:sz w:val="28"/>
          <w:szCs w:val="28"/>
          <w:lang w:val="uk-UA"/>
        </w:rPr>
      </w:pPr>
    </w:p>
    <w:p w:rsidR="00924EC0" w:rsidRPr="009D406E" w:rsidRDefault="009D406E" w:rsidP="00F60BA8">
      <w:pPr>
        <w:rPr>
          <w:b/>
          <w:sz w:val="28"/>
          <w:szCs w:val="28"/>
          <w:lang w:val="uk-UA"/>
        </w:rPr>
      </w:pPr>
      <w:r w:rsidRPr="009D406E">
        <w:rPr>
          <w:b/>
          <w:sz w:val="28"/>
          <w:szCs w:val="28"/>
          <w:lang w:val="uk-UA"/>
        </w:rPr>
        <w:t>Література:</w:t>
      </w:r>
    </w:p>
    <w:p w:rsidR="009D406E" w:rsidRPr="00E2487C" w:rsidRDefault="009D406E" w:rsidP="009D406E">
      <w:pPr>
        <w:shd w:val="clear" w:color="auto" w:fill="FFFFFF"/>
        <w:jc w:val="both"/>
        <w:rPr>
          <w:sz w:val="28"/>
          <w:szCs w:val="28"/>
          <w:lang w:val="uk-UA"/>
        </w:rPr>
      </w:pPr>
      <w:r>
        <w:rPr>
          <w:sz w:val="28"/>
          <w:szCs w:val="28"/>
          <w:lang w:val="uk-UA"/>
        </w:rPr>
        <w:t xml:space="preserve">1. </w:t>
      </w:r>
      <w:r w:rsidRPr="00E2487C">
        <w:rPr>
          <w:sz w:val="28"/>
          <w:szCs w:val="28"/>
          <w:lang w:val="uk-UA"/>
        </w:rPr>
        <w:t>Попович О.</w:t>
      </w:r>
      <w:r>
        <w:rPr>
          <w:sz w:val="28"/>
          <w:szCs w:val="28"/>
          <w:lang w:val="uk-UA"/>
        </w:rPr>
        <w:t> В. Комерційні угоди</w:t>
      </w:r>
      <w:r w:rsidRPr="00E2487C">
        <w:rPr>
          <w:sz w:val="28"/>
          <w:szCs w:val="28"/>
          <w:lang w:val="uk-UA"/>
        </w:rPr>
        <w:t xml:space="preserve"> як складова взаєморозрахунків в цивільній авіації </w:t>
      </w:r>
      <w:r>
        <w:rPr>
          <w:sz w:val="28"/>
          <w:szCs w:val="28"/>
          <w:lang w:val="uk-UA"/>
        </w:rPr>
        <w:t xml:space="preserve">/ </w:t>
      </w:r>
      <w:r w:rsidRPr="00E2487C">
        <w:rPr>
          <w:sz w:val="28"/>
          <w:szCs w:val="28"/>
          <w:lang w:val="uk-UA"/>
        </w:rPr>
        <w:t>О.</w:t>
      </w:r>
      <w:r>
        <w:rPr>
          <w:sz w:val="28"/>
          <w:szCs w:val="28"/>
          <w:lang w:val="uk-UA"/>
        </w:rPr>
        <w:t xml:space="preserve"> В. </w:t>
      </w:r>
      <w:r w:rsidRPr="00E2487C">
        <w:rPr>
          <w:sz w:val="28"/>
          <w:szCs w:val="28"/>
          <w:lang w:val="uk-UA"/>
        </w:rPr>
        <w:t xml:space="preserve">Попович // Матеріали </w:t>
      </w:r>
      <w:r w:rsidRPr="00E2487C">
        <w:rPr>
          <w:sz w:val="28"/>
          <w:szCs w:val="28"/>
          <w:lang w:val="en-US"/>
        </w:rPr>
        <w:t>VIII</w:t>
      </w:r>
      <w:r w:rsidRPr="00E2487C">
        <w:rPr>
          <w:sz w:val="28"/>
          <w:szCs w:val="28"/>
          <w:lang w:val="uk-UA"/>
        </w:rPr>
        <w:t xml:space="preserve"> Міжнародної науково-практичної конференції «АВІА-2007».  – К.: НАУ, 2007. –Т.</w:t>
      </w:r>
      <w:r>
        <w:rPr>
          <w:sz w:val="28"/>
          <w:szCs w:val="28"/>
          <w:lang w:val="uk-UA"/>
        </w:rPr>
        <w:t> </w:t>
      </w:r>
      <w:r w:rsidRPr="00E2487C">
        <w:rPr>
          <w:sz w:val="28"/>
          <w:szCs w:val="28"/>
          <w:lang w:val="uk-UA"/>
        </w:rPr>
        <w:t>3.</w:t>
      </w:r>
      <w:r w:rsidRPr="0078364F">
        <w:rPr>
          <w:sz w:val="28"/>
          <w:szCs w:val="28"/>
          <w:lang w:val="uk-UA"/>
        </w:rPr>
        <w:t xml:space="preserve"> </w:t>
      </w:r>
      <w:r w:rsidRPr="00E2487C">
        <w:rPr>
          <w:sz w:val="28"/>
          <w:szCs w:val="28"/>
          <w:lang w:val="uk-UA"/>
        </w:rPr>
        <w:t>– С. 51.98</w:t>
      </w:r>
      <w:r>
        <w:rPr>
          <w:sz w:val="28"/>
          <w:szCs w:val="28"/>
          <w:lang w:val="uk-UA"/>
        </w:rPr>
        <w:sym w:font="Symbol" w:char="F02D"/>
      </w:r>
      <w:r>
        <w:rPr>
          <w:sz w:val="28"/>
          <w:szCs w:val="28"/>
          <w:lang w:val="uk-UA"/>
        </w:rPr>
        <w:t>51.104.</w:t>
      </w:r>
      <w:r w:rsidRPr="00E2487C">
        <w:rPr>
          <w:sz w:val="28"/>
          <w:szCs w:val="28"/>
          <w:lang w:val="uk-UA"/>
        </w:rPr>
        <w:t xml:space="preserve"> </w:t>
      </w:r>
    </w:p>
    <w:p w:rsidR="009D406E" w:rsidRPr="008F650C" w:rsidRDefault="009D406E" w:rsidP="009D406E">
      <w:pPr>
        <w:shd w:val="clear" w:color="auto" w:fill="FFFFFF"/>
        <w:tabs>
          <w:tab w:val="num" w:pos="0"/>
        </w:tabs>
        <w:jc w:val="both"/>
        <w:rPr>
          <w:sz w:val="28"/>
          <w:szCs w:val="28"/>
          <w:lang w:val="uk-UA"/>
        </w:rPr>
      </w:pPr>
      <w:r w:rsidRPr="00B7798D">
        <w:rPr>
          <w:sz w:val="28"/>
          <w:szCs w:val="28"/>
          <w:lang w:val="uk-UA"/>
        </w:rPr>
        <w:t>2</w:t>
      </w:r>
      <w:r w:rsidRPr="008F650C">
        <w:rPr>
          <w:sz w:val="28"/>
          <w:szCs w:val="28"/>
          <w:lang w:val="uk-UA"/>
        </w:rPr>
        <w:t>. Юр</w:t>
      </w:r>
      <w:r>
        <w:rPr>
          <w:sz w:val="28"/>
          <w:szCs w:val="28"/>
          <w:lang w:val="uk-UA"/>
        </w:rPr>
        <w:t>’</w:t>
      </w:r>
      <w:r w:rsidRPr="008F650C">
        <w:rPr>
          <w:sz w:val="28"/>
          <w:szCs w:val="28"/>
          <w:lang w:val="uk-UA"/>
        </w:rPr>
        <w:t>єва Т.</w:t>
      </w:r>
      <w:r>
        <w:rPr>
          <w:sz w:val="28"/>
          <w:szCs w:val="28"/>
          <w:lang w:val="uk-UA"/>
        </w:rPr>
        <w:t> </w:t>
      </w:r>
      <w:r w:rsidRPr="008F650C">
        <w:rPr>
          <w:sz w:val="28"/>
          <w:szCs w:val="28"/>
          <w:lang w:val="uk-UA"/>
        </w:rPr>
        <w:t>Г. Практичні аспекти організації фінансового забезпечення діяльності суб</w:t>
      </w:r>
      <w:r>
        <w:rPr>
          <w:sz w:val="28"/>
          <w:szCs w:val="28"/>
          <w:lang w:val="uk-UA"/>
        </w:rPr>
        <w:t>’</w:t>
      </w:r>
      <w:r w:rsidRPr="008F650C">
        <w:rPr>
          <w:sz w:val="28"/>
          <w:szCs w:val="28"/>
          <w:lang w:val="uk-UA"/>
        </w:rPr>
        <w:t xml:space="preserve">єктів авіатранспортної галузі </w:t>
      </w:r>
      <w:r>
        <w:rPr>
          <w:sz w:val="28"/>
          <w:szCs w:val="28"/>
          <w:lang w:val="uk-UA"/>
        </w:rPr>
        <w:t xml:space="preserve">/ </w:t>
      </w:r>
      <w:r w:rsidRPr="008F650C">
        <w:rPr>
          <w:sz w:val="28"/>
          <w:szCs w:val="28"/>
          <w:lang w:val="uk-UA"/>
        </w:rPr>
        <w:t>Т.</w:t>
      </w:r>
      <w:r>
        <w:rPr>
          <w:sz w:val="28"/>
          <w:szCs w:val="28"/>
          <w:lang w:val="uk-UA"/>
        </w:rPr>
        <w:t> </w:t>
      </w:r>
      <w:r w:rsidRPr="008F650C">
        <w:rPr>
          <w:sz w:val="28"/>
          <w:szCs w:val="28"/>
          <w:lang w:val="uk-UA"/>
        </w:rPr>
        <w:t>Г.</w:t>
      </w:r>
      <w:r>
        <w:rPr>
          <w:sz w:val="28"/>
          <w:szCs w:val="28"/>
          <w:lang w:val="uk-UA"/>
        </w:rPr>
        <w:t xml:space="preserve"> </w:t>
      </w:r>
      <w:r w:rsidRPr="008F650C">
        <w:rPr>
          <w:sz w:val="28"/>
          <w:szCs w:val="28"/>
          <w:lang w:val="uk-UA"/>
        </w:rPr>
        <w:t>Юр</w:t>
      </w:r>
      <w:r>
        <w:rPr>
          <w:sz w:val="28"/>
          <w:szCs w:val="28"/>
          <w:lang w:val="uk-UA"/>
        </w:rPr>
        <w:t>’</w:t>
      </w:r>
      <w:r w:rsidRPr="008F650C">
        <w:rPr>
          <w:sz w:val="28"/>
          <w:szCs w:val="28"/>
          <w:lang w:val="uk-UA"/>
        </w:rPr>
        <w:t xml:space="preserve">єва //Матеріали </w:t>
      </w:r>
      <w:r w:rsidRPr="008F650C">
        <w:rPr>
          <w:sz w:val="28"/>
          <w:szCs w:val="28"/>
          <w:lang w:val="en-US"/>
        </w:rPr>
        <w:t>VIII</w:t>
      </w:r>
      <w:r w:rsidRPr="008F650C">
        <w:rPr>
          <w:sz w:val="28"/>
          <w:szCs w:val="28"/>
          <w:lang w:val="uk-UA"/>
        </w:rPr>
        <w:t xml:space="preserve"> Міжнародної науково-практичної конференції «АВІА-2007». – К.: НАУ, 2007. – Т.</w:t>
      </w:r>
      <w:r>
        <w:rPr>
          <w:sz w:val="28"/>
          <w:szCs w:val="28"/>
          <w:lang w:val="uk-UA"/>
        </w:rPr>
        <w:t> </w:t>
      </w:r>
      <w:r w:rsidRPr="008F650C">
        <w:rPr>
          <w:sz w:val="28"/>
          <w:szCs w:val="28"/>
          <w:lang w:val="uk-UA"/>
        </w:rPr>
        <w:t xml:space="preserve">3. </w:t>
      </w:r>
      <w:r>
        <w:rPr>
          <w:sz w:val="28"/>
          <w:szCs w:val="28"/>
          <w:lang w:val="uk-UA"/>
        </w:rPr>
        <w:t>–</w:t>
      </w:r>
      <w:r w:rsidRPr="008F650C">
        <w:rPr>
          <w:sz w:val="28"/>
          <w:szCs w:val="28"/>
          <w:lang w:val="uk-UA"/>
        </w:rPr>
        <w:t xml:space="preserve"> С.51.79</w:t>
      </w:r>
      <w:r>
        <w:rPr>
          <w:sz w:val="28"/>
          <w:szCs w:val="28"/>
          <w:lang w:val="uk-UA"/>
        </w:rPr>
        <w:sym w:font="Symbol" w:char="F02D"/>
      </w:r>
      <w:r w:rsidRPr="008F650C">
        <w:rPr>
          <w:sz w:val="28"/>
          <w:szCs w:val="28"/>
          <w:lang w:val="uk-UA"/>
        </w:rPr>
        <w:t xml:space="preserve">51.82. </w:t>
      </w:r>
    </w:p>
    <w:p w:rsidR="009D406E" w:rsidRPr="00FB0BA6" w:rsidRDefault="009D406E" w:rsidP="009D406E">
      <w:pPr>
        <w:shd w:val="clear" w:color="auto" w:fill="FFFFFF"/>
        <w:jc w:val="both"/>
        <w:rPr>
          <w:sz w:val="28"/>
          <w:szCs w:val="28"/>
          <w:lang w:val="uk-UA"/>
        </w:rPr>
      </w:pPr>
      <w:r>
        <w:rPr>
          <w:sz w:val="28"/>
          <w:szCs w:val="28"/>
          <w:lang w:val="uk-UA"/>
        </w:rPr>
        <w:t>3</w:t>
      </w:r>
      <w:r>
        <w:rPr>
          <w:sz w:val="28"/>
          <w:szCs w:val="28"/>
          <w:lang w:val="uk-UA"/>
        </w:rPr>
        <w:t>.</w:t>
      </w:r>
      <w:r w:rsidRPr="00FB0BA6">
        <w:rPr>
          <w:spacing w:val="-4"/>
          <w:sz w:val="28"/>
          <w:szCs w:val="28"/>
          <w:lang w:val="uk-UA" w:eastAsia="uk-UA"/>
        </w:rPr>
        <w:t xml:space="preserve"> </w:t>
      </w:r>
      <w:proofErr w:type="spellStart"/>
      <w:r w:rsidRPr="00FB0BA6">
        <w:rPr>
          <w:sz w:val="28"/>
          <w:szCs w:val="28"/>
          <w:lang w:val="uk-UA"/>
        </w:rPr>
        <w:t>Косарєв</w:t>
      </w:r>
      <w:proofErr w:type="spellEnd"/>
      <w:r w:rsidRPr="00FB0BA6">
        <w:rPr>
          <w:sz w:val="28"/>
          <w:szCs w:val="28"/>
          <w:lang w:val="uk-UA"/>
        </w:rPr>
        <w:t xml:space="preserve"> О.</w:t>
      </w:r>
      <w:r>
        <w:rPr>
          <w:sz w:val="28"/>
          <w:szCs w:val="28"/>
          <w:lang w:val="uk-UA"/>
        </w:rPr>
        <w:t> Й.</w:t>
      </w:r>
      <w:r w:rsidRPr="00FB0BA6">
        <w:rPr>
          <w:sz w:val="28"/>
          <w:szCs w:val="28"/>
          <w:lang w:val="uk-UA"/>
        </w:rPr>
        <w:t xml:space="preserve"> Джерела фінансування технічного переоснащення авіапідприємств України </w:t>
      </w:r>
      <w:r>
        <w:rPr>
          <w:sz w:val="28"/>
          <w:szCs w:val="28"/>
          <w:lang w:val="uk-UA"/>
        </w:rPr>
        <w:t xml:space="preserve">/ </w:t>
      </w:r>
      <w:r w:rsidRPr="00FB0BA6">
        <w:rPr>
          <w:sz w:val="28"/>
          <w:szCs w:val="28"/>
          <w:lang w:val="uk-UA"/>
        </w:rPr>
        <w:t>О.</w:t>
      </w:r>
      <w:r>
        <w:rPr>
          <w:sz w:val="28"/>
          <w:szCs w:val="28"/>
          <w:lang w:val="uk-UA"/>
        </w:rPr>
        <w:t xml:space="preserve"> Й. </w:t>
      </w:r>
      <w:proofErr w:type="spellStart"/>
      <w:r w:rsidRPr="00FB0BA6">
        <w:rPr>
          <w:sz w:val="28"/>
          <w:szCs w:val="28"/>
          <w:lang w:val="uk-UA"/>
        </w:rPr>
        <w:t>Косарєв</w:t>
      </w:r>
      <w:proofErr w:type="spellEnd"/>
      <w:r>
        <w:rPr>
          <w:sz w:val="28"/>
          <w:szCs w:val="28"/>
          <w:lang w:val="uk-UA"/>
        </w:rPr>
        <w:t xml:space="preserve">, </w:t>
      </w:r>
      <w:r w:rsidRPr="00FB0BA6">
        <w:rPr>
          <w:sz w:val="28"/>
          <w:szCs w:val="28"/>
          <w:lang w:val="uk-UA"/>
        </w:rPr>
        <w:t>О.</w:t>
      </w:r>
      <w:r>
        <w:rPr>
          <w:sz w:val="28"/>
          <w:szCs w:val="28"/>
          <w:lang w:val="uk-UA"/>
        </w:rPr>
        <w:t> </w:t>
      </w:r>
      <w:r w:rsidRPr="00FB0BA6">
        <w:rPr>
          <w:sz w:val="28"/>
          <w:szCs w:val="28"/>
          <w:lang w:val="uk-UA"/>
        </w:rPr>
        <w:t>М.</w:t>
      </w:r>
      <w:r>
        <w:rPr>
          <w:sz w:val="28"/>
          <w:szCs w:val="28"/>
          <w:lang w:val="uk-UA"/>
        </w:rPr>
        <w:t xml:space="preserve"> </w:t>
      </w:r>
      <w:r w:rsidRPr="00FB0BA6">
        <w:rPr>
          <w:sz w:val="28"/>
          <w:szCs w:val="28"/>
          <w:lang w:val="uk-UA"/>
        </w:rPr>
        <w:t xml:space="preserve">Рибак // Актуальні проблеми економіки. </w:t>
      </w:r>
      <w:r>
        <w:rPr>
          <w:sz w:val="28"/>
          <w:szCs w:val="28"/>
          <w:lang w:val="uk-UA"/>
        </w:rPr>
        <w:sym w:font="Symbol" w:char="F02D"/>
      </w:r>
      <w:r w:rsidRPr="00FB0BA6">
        <w:rPr>
          <w:sz w:val="28"/>
          <w:szCs w:val="28"/>
          <w:lang w:val="uk-UA"/>
        </w:rPr>
        <w:t xml:space="preserve"> №</w:t>
      </w:r>
      <w:r>
        <w:rPr>
          <w:sz w:val="28"/>
          <w:szCs w:val="28"/>
          <w:lang w:val="uk-UA"/>
        </w:rPr>
        <w:t> </w:t>
      </w:r>
      <w:r w:rsidRPr="00FB0BA6">
        <w:rPr>
          <w:sz w:val="28"/>
          <w:szCs w:val="28"/>
          <w:lang w:val="uk-UA"/>
        </w:rPr>
        <w:t>12</w:t>
      </w:r>
      <w:r>
        <w:rPr>
          <w:sz w:val="28"/>
          <w:szCs w:val="28"/>
          <w:lang w:val="uk-UA"/>
        </w:rPr>
        <w:t> </w:t>
      </w:r>
      <w:r w:rsidRPr="00FB0BA6">
        <w:rPr>
          <w:sz w:val="28"/>
          <w:szCs w:val="28"/>
          <w:lang w:val="uk-UA"/>
        </w:rPr>
        <w:t>(66). – 2006. – С.</w:t>
      </w:r>
      <w:r>
        <w:rPr>
          <w:sz w:val="28"/>
          <w:szCs w:val="28"/>
          <w:lang w:val="uk-UA"/>
        </w:rPr>
        <w:t> 31</w:t>
      </w:r>
      <w:r>
        <w:rPr>
          <w:sz w:val="28"/>
          <w:szCs w:val="28"/>
          <w:lang w:val="uk-UA"/>
        </w:rPr>
        <w:sym w:font="Symbol" w:char="F02D"/>
      </w:r>
      <w:r w:rsidRPr="00FB0BA6">
        <w:rPr>
          <w:sz w:val="28"/>
          <w:szCs w:val="28"/>
          <w:lang w:val="uk-UA"/>
        </w:rPr>
        <w:t>38.</w:t>
      </w:r>
    </w:p>
    <w:p w:rsidR="009D406E" w:rsidRDefault="009D406E" w:rsidP="009D406E">
      <w:pPr>
        <w:jc w:val="both"/>
        <w:rPr>
          <w:sz w:val="28"/>
          <w:szCs w:val="28"/>
          <w:lang w:val="uk-UA"/>
        </w:rPr>
      </w:pPr>
      <w:r w:rsidRPr="009D406E">
        <w:rPr>
          <w:sz w:val="28"/>
          <w:szCs w:val="28"/>
          <w:lang w:val="uk-UA"/>
        </w:rPr>
        <w:t>4</w:t>
      </w:r>
      <w:r w:rsidRPr="009D406E">
        <w:rPr>
          <w:sz w:val="28"/>
          <w:szCs w:val="28"/>
          <w:lang w:val="uk-UA"/>
        </w:rPr>
        <w:t xml:space="preserve">. Концепція розвитку транспортно-дорожнього комплексу України на середньостроковий період та до 2020 року. </w:t>
      </w:r>
      <w:r w:rsidRPr="009D406E">
        <w:rPr>
          <w:sz w:val="28"/>
          <w:szCs w:val="28"/>
          <w:lang w:val="uk-UA"/>
        </w:rPr>
        <w:sym w:font="Symbol" w:char="F02D"/>
      </w:r>
      <w:r w:rsidRPr="009D406E">
        <w:rPr>
          <w:sz w:val="28"/>
          <w:szCs w:val="28"/>
          <w:lang w:val="uk-UA"/>
        </w:rPr>
        <w:t xml:space="preserve"> Режим доступу : </w:t>
      </w:r>
      <w:hyperlink r:id="rId5" w:history="1">
        <w:r w:rsidRPr="009D406E">
          <w:rPr>
            <w:rStyle w:val="a3"/>
            <w:sz w:val="28"/>
            <w:szCs w:val="28"/>
            <w:lang w:val="en-US"/>
          </w:rPr>
          <w:t>http</w:t>
        </w:r>
        <w:r w:rsidRPr="009D406E">
          <w:rPr>
            <w:rStyle w:val="a3"/>
            <w:sz w:val="28"/>
            <w:szCs w:val="28"/>
          </w:rPr>
          <w:t>://</w:t>
        </w:r>
        <w:r w:rsidRPr="009D406E">
          <w:rPr>
            <w:rStyle w:val="a3"/>
            <w:sz w:val="28"/>
            <w:szCs w:val="28"/>
            <w:lang w:val="en-US"/>
          </w:rPr>
          <w:t>www</w:t>
        </w:r>
        <w:r w:rsidRPr="009D406E">
          <w:rPr>
            <w:rStyle w:val="a3"/>
            <w:sz w:val="28"/>
            <w:szCs w:val="28"/>
          </w:rPr>
          <w:t>.</w:t>
        </w:r>
        <w:proofErr w:type="spellStart"/>
        <w:r w:rsidRPr="009D406E">
          <w:rPr>
            <w:rStyle w:val="a3"/>
            <w:sz w:val="28"/>
            <w:szCs w:val="28"/>
            <w:lang w:val="en-US"/>
          </w:rPr>
          <w:t>kmu</w:t>
        </w:r>
        <w:proofErr w:type="spellEnd"/>
        <w:r w:rsidRPr="009D406E">
          <w:rPr>
            <w:rStyle w:val="a3"/>
            <w:sz w:val="28"/>
            <w:szCs w:val="28"/>
          </w:rPr>
          <w:t>.</w:t>
        </w:r>
        <w:proofErr w:type="spellStart"/>
        <w:r w:rsidRPr="009D406E">
          <w:rPr>
            <w:rStyle w:val="a3"/>
            <w:sz w:val="28"/>
            <w:szCs w:val="28"/>
            <w:lang w:val="en-US"/>
          </w:rPr>
          <w:t>gov</w:t>
        </w:r>
        <w:proofErr w:type="spellEnd"/>
        <w:r w:rsidRPr="009D406E">
          <w:rPr>
            <w:rStyle w:val="a3"/>
            <w:sz w:val="28"/>
            <w:szCs w:val="28"/>
          </w:rPr>
          <w:t>.</w:t>
        </w:r>
        <w:proofErr w:type="spellStart"/>
        <w:r w:rsidRPr="009D406E">
          <w:rPr>
            <w:rStyle w:val="a3"/>
            <w:sz w:val="28"/>
            <w:szCs w:val="28"/>
            <w:lang w:val="en-US"/>
          </w:rPr>
          <w:t>ua</w:t>
        </w:r>
        <w:proofErr w:type="spellEnd"/>
        <w:r w:rsidRPr="009D406E">
          <w:rPr>
            <w:rStyle w:val="a3"/>
            <w:sz w:val="28"/>
            <w:szCs w:val="28"/>
          </w:rPr>
          <w:t>/</w:t>
        </w:r>
        <w:r w:rsidRPr="009D406E">
          <w:rPr>
            <w:rStyle w:val="a3"/>
            <w:sz w:val="28"/>
            <w:szCs w:val="28"/>
            <w:lang w:val="en-US"/>
          </w:rPr>
          <w:t>control</w:t>
        </w:r>
        <w:r w:rsidRPr="009D406E">
          <w:rPr>
            <w:rStyle w:val="a3"/>
            <w:sz w:val="28"/>
            <w:szCs w:val="28"/>
          </w:rPr>
          <w:t>/</w:t>
        </w:r>
        <w:r w:rsidRPr="009D406E">
          <w:rPr>
            <w:rStyle w:val="a3"/>
            <w:sz w:val="28"/>
            <w:szCs w:val="28"/>
            <w:lang w:val="en-US"/>
          </w:rPr>
          <w:t>publish</w:t>
        </w:r>
        <w:r w:rsidRPr="009D406E">
          <w:rPr>
            <w:rStyle w:val="a3"/>
            <w:sz w:val="28"/>
            <w:szCs w:val="28"/>
          </w:rPr>
          <w:t>/</w:t>
        </w:r>
        <w:r w:rsidRPr="009D406E">
          <w:rPr>
            <w:rStyle w:val="a3"/>
            <w:sz w:val="28"/>
            <w:szCs w:val="28"/>
            <w:lang w:val="en-US"/>
          </w:rPr>
          <w:t>article</w:t>
        </w:r>
        <w:r w:rsidRPr="009D406E">
          <w:rPr>
            <w:rStyle w:val="a3"/>
            <w:sz w:val="28"/>
            <w:szCs w:val="28"/>
          </w:rPr>
          <w:t>?</w:t>
        </w:r>
        <w:r w:rsidRPr="009D406E">
          <w:rPr>
            <w:rStyle w:val="a3"/>
            <w:sz w:val="28"/>
            <w:szCs w:val="28"/>
            <w:lang w:val="en-US"/>
          </w:rPr>
          <w:t>art</w:t>
        </w:r>
        <w:r w:rsidRPr="009D406E">
          <w:rPr>
            <w:rStyle w:val="a3"/>
            <w:sz w:val="28"/>
            <w:szCs w:val="28"/>
          </w:rPr>
          <w:t>_</w:t>
        </w:r>
        <w:r w:rsidRPr="009D406E">
          <w:rPr>
            <w:rStyle w:val="a3"/>
            <w:sz w:val="28"/>
            <w:szCs w:val="28"/>
            <w:lang w:val="en-US"/>
          </w:rPr>
          <w:t>id</w:t>
        </w:r>
        <w:r w:rsidRPr="009D406E">
          <w:rPr>
            <w:rStyle w:val="a3"/>
            <w:sz w:val="28"/>
            <w:szCs w:val="28"/>
          </w:rPr>
          <w:t>=32874</w:t>
        </w:r>
      </w:hyperlink>
      <w:r w:rsidRPr="009D406E">
        <w:rPr>
          <w:sz w:val="28"/>
          <w:szCs w:val="28"/>
          <w:lang w:val="uk-UA"/>
        </w:rPr>
        <w:t>.</w:t>
      </w:r>
      <w:r>
        <w:rPr>
          <w:sz w:val="28"/>
          <w:szCs w:val="28"/>
          <w:lang w:val="uk-UA"/>
        </w:rPr>
        <w:t xml:space="preserve"> </w:t>
      </w:r>
    </w:p>
    <w:p w:rsidR="009D406E" w:rsidRDefault="009D406E" w:rsidP="009D406E">
      <w:pPr>
        <w:shd w:val="clear" w:color="auto" w:fill="FFFFFF"/>
        <w:jc w:val="both"/>
        <w:rPr>
          <w:sz w:val="28"/>
          <w:szCs w:val="28"/>
          <w:lang w:val="uk-UA"/>
        </w:rPr>
      </w:pPr>
      <w:r>
        <w:rPr>
          <w:sz w:val="28"/>
          <w:szCs w:val="28"/>
          <w:lang w:val="uk-UA"/>
        </w:rPr>
        <w:t>5</w:t>
      </w:r>
      <w:r>
        <w:rPr>
          <w:sz w:val="28"/>
          <w:szCs w:val="28"/>
          <w:lang w:val="uk-UA"/>
        </w:rPr>
        <w:t xml:space="preserve">. </w:t>
      </w:r>
      <w:r w:rsidRPr="00FB0BA6">
        <w:rPr>
          <w:sz w:val="28"/>
          <w:szCs w:val="28"/>
          <w:lang w:val="uk-UA"/>
        </w:rPr>
        <w:t>Пономарьов О.</w:t>
      </w:r>
      <w:r>
        <w:rPr>
          <w:sz w:val="28"/>
          <w:szCs w:val="28"/>
          <w:lang w:val="uk-UA"/>
        </w:rPr>
        <w:t> </w:t>
      </w:r>
      <w:r w:rsidRPr="00FB0BA6">
        <w:rPr>
          <w:sz w:val="28"/>
          <w:szCs w:val="28"/>
          <w:lang w:val="uk-UA"/>
        </w:rPr>
        <w:t xml:space="preserve">В. Закордонний досвід залучення інвестицій підприємствами авіатранспортної галузі </w:t>
      </w:r>
      <w:r>
        <w:rPr>
          <w:sz w:val="28"/>
          <w:szCs w:val="28"/>
          <w:lang w:val="uk-UA"/>
        </w:rPr>
        <w:t xml:space="preserve">/ </w:t>
      </w:r>
      <w:r w:rsidRPr="00FB0BA6">
        <w:rPr>
          <w:sz w:val="28"/>
          <w:szCs w:val="28"/>
          <w:lang w:val="uk-UA"/>
        </w:rPr>
        <w:t>О.</w:t>
      </w:r>
      <w:r>
        <w:rPr>
          <w:sz w:val="28"/>
          <w:szCs w:val="28"/>
          <w:lang w:val="uk-UA"/>
        </w:rPr>
        <w:t> </w:t>
      </w:r>
      <w:r w:rsidRPr="00FB0BA6">
        <w:rPr>
          <w:sz w:val="28"/>
          <w:szCs w:val="28"/>
          <w:lang w:val="uk-UA"/>
        </w:rPr>
        <w:t>В.</w:t>
      </w:r>
      <w:r>
        <w:rPr>
          <w:sz w:val="28"/>
          <w:szCs w:val="28"/>
          <w:lang w:val="uk-UA"/>
        </w:rPr>
        <w:t xml:space="preserve"> </w:t>
      </w:r>
      <w:r w:rsidRPr="00FB0BA6">
        <w:rPr>
          <w:sz w:val="28"/>
          <w:szCs w:val="28"/>
          <w:lang w:val="uk-UA"/>
        </w:rPr>
        <w:t>Пономарьов // Проблеми системного підходу в економіці</w:t>
      </w:r>
      <w:r>
        <w:rPr>
          <w:sz w:val="28"/>
          <w:szCs w:val="28"/>
          <w:lang w:val="uk-UA"/>
        </w:rPr>
        <w:t xml:space="preserve"> : з</w:t>
      </w:r>
      <w:r w:rsidRPr="00FB0BA6">
        <w:rPr>
          <w:sz w:val="28"/>
          <w:szCs w:val="28"/>
          <w:lang w:val="uk-UA"/>
        </w:rPr>
        <w:t>бірник наукових праць</w:t>
      </w:r>
      <w:r>
        <w:rPr>
          <w:sz w:val="28"/>
          <w:szCs w:val="28"/>
          <w:lang w:val="uk-UA"/>
        </w:rPr>
        <w:t xml:space="preserve">. </w:t>
      </w:r>
      <w:r w:rsidRPr="00FB0BA6">
        <w:rPr>
          <w:sz w:val="28"/>
          <w:szCs w:val="28"/>
          <w:lang w:val="uk-UA"/>
        </w:rPr>
        <w:t>– К.</w:t>
      </w:r>
      <w:r>
        <w:rPr>
          <w:sz w:val="28"/>
          <w:szCs w:val="28"/>
          <w:lang w:val="uk-UA"/>
        </w:rPr>
        <w:t xml:space="preserve"> </w:t>
      </w:r>
      <w:r w:rsidRPr="00FB0BA6">
        <w:rPr>
          <w:sz w:val="28"/>
          <w:szCs w:val="28"/>
          <w:lang w:val="uk-UA"/>
        </w:rPr>
        <w:t xml:space="preserve">: НАУ, 2007. </w:t>
      </w:r>
      <w:r>
        <w:rPr>
          <w:sz w:val="28"/>
          <w:szCs w:val="28"/>
          <w:lang w:val="uk-UA"/>
        </w:rPr>
        <w:sym w:font="Symbol" w:char="F02D"/>
      </w:r>
      <w:r w:rsidRPr="00FB0BA6">
        <w:rPr>
          <w:sz w:val="28"/>
          <w:szCs w:val="28"/>
          <w:lang w:val="uk-UA"/>
        </w:rPr>
        <w:t xml:space="preserve"> Випуск 21.</w:t>
      </w:r>
      <w:r>
        <w:rPr>
          <w:sz w:val="28"/>
          <w:szCs w:val="28"/>
          <w:lang w:val="uk-UA"/>
        </w:rPr>
        <w:t xml:space="preserve"> </w:t>
      </w:r>
      <w:r w:rsidRPr="00FB0BA6">
        <w:rPr>
          <w:sz w:val="28"/>
          <w:szCs w:val="28"/>
          <w:lang w:val="uk-UA"/>
        </w:rPr>
        <w:t>– С.</w:t>
      </w:r>
      <w:r>
        <w:rPr>
          <w:sz w:val="28"/>
          <w:szCs w:val="28"/>
          <w:lang w:val="uk-UA"/>
        </w:rPr>
        <w:t> </w:t>
      </w:r>
      <w:r w:rsidRPr="00FB0BA6">
        <w:rPr>
          <w:sz w:val="28"/>
          <w:szCs w:val="28"/>
          <w:lang w:val="uk-UA"/>
        </w:rPr>
        <w:t>46</w:t>
      </w:r>
      <w:r>
        <w:rPr>
          <w:sz w:val="28"/>
          <w:szCs w:val="28"/>
          <w:lang w:val="uk-UA"/>
        </w:rPr>
        <w:sym w:font="Symbol" w:char="F02D"/>
      </w:r>
      <w:r w:rsidRPr="00FB0BA6">
        <w:rPr>
          <w:sz w:val="28"/>
          <w:szCs w:val="28"/>
          <w:lang w:val="uk-UA"/>
        </w:rPr>
        <w:t>54.</w:t>
      </w:r>
    </w:p>
    <w:p w:rsidR="009D406E" w:rsidRPr="001163BA" w:rsidRDefault="009D406E" w:rsidP="00F60BA8">
      <w:pPr>
        <w:rPr>
          <w:lang w:val="uk-UA"/>
        </w:rPr>
      </w:pPr>
    </w:p>
    <w:sectPr w:rsidR="009D406E" w:rsidRPr="001163BA" w:rsidSect="001163BA">
      <w:pgSz w:w="11906" w:h="16838"/>
      <w:pgMar w:top="1077" w:right="964" w:bottom="119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BA"/>
    <w:rsid w:val="001163BA"/>
    <w:rsid w:val="003C15AE"/>
    <w:rsid w:val="0054201D"/>
    <w:rsid w:val="006741F4"/>
    <w:rsid w:val="00924EC0"/>
    <w:rsid w:val="009D406E"/>
    <w:rsid w:val="009E2ABC"/>
    <w:rsid w:val="00D63125"/>
    <w:rsid w:val="00F60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1"/>
    <w:basedOn w:val="a"/>
    <w:rsid w:val="009D406E"/>
    <w:rPr>
      <w:rFonts w:ascii="Verdana" w:hAnsi="Verdana" w:cs="Verdana"/>
      <w:sz w:val="20"/>
      <w:szCs w:val="20"/>
      <w:lang w:val="en-US" w:eastAsia="en-US"/>
    </w:rPr>
  </w:style>
  <w:style w:type="character" w:styleId="a3">
    <w:name w:val="Hyperlink"/>
    <w:basedOn w:val="a0"/>
    <w:rsid w:val="009D406E"/>
    <w:rPr>
      <w:color w:val="0000FF"/>
      <w:u w:val="single"/>
    </w:rPr>
  </w:style>
  <w:style w:type="paragraph" w:customStyle="1" w:styleId="a4">
    <w:name w:val=" Знак"/>
    <w:basedOn w:val="a"/>
    <w:rsid w:val="006741F4"/>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1"/>
    <w:basedOn w:val="a"/>
    <w:rsid w:val="009D406E"/>
    <w:rPr>
      <w:rFonts w:ascii="Verdana" w:hAnsi="Verdana" w:cs="Verdana"/>
      <w:sz w:val="20"/>
      <w:szCs w:val="20"/>
      <w:lang w:val="en-US" w:eastAsia="en-US"/>
    </w:rPr>
  </w:style>
  <w:style w:type="character" w:styleId="a3">
    <w:name w:val="Hyperlink"/>
    <w:basedOn w:val="a0"/>
    <w:rsid w:val="009D406E"/>
    <w:rPr>
      <w:color w:val="0000FF"/>
      <w:u w:val="single"/>
    </w:rPr>
  </w:style>
  <w:style w:type="paragraph" w:customStyle="1" w:styleId="a4">
    <w:name w:val=" Знак"/>
    <w:basedOn w:val="a"/>
    <w:rsid w:val="006741F4"/>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mu.gov.ua/control/publish/article?art_id=328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2014-05-04T09:56:00Z</dcterms:created>
  <dcterms:modified xsi:type="dcterms:W3CDTF">2014-05-04T10:22:00Z</dcterms:modified>
</cp:coreProperties>
</file>