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3F" w:rsidRPr="00C9243F" w:rsidRDefault="00C9243F" w:rsidP="00C9243F">
      <w:pPr>
        <w:spacing w:line="360" w:lineRule="auto"/>
        <w:jc w:val="center"/>
        <w:rPr>
          <w:b/>
        </w:rPr>
      </w:pPr>
      <w:r w:rsidRPr="00C9243F">
        <w:rPr>
          <w:b/>
        </w:rPr>
        <w:t>Перелік теоретичних питань та типових завдань для розв’язку</w:t>
      </w:r>
      <w:r w:rsidRPr="00C9243F">
        <w:rPr>
          <w:b/>
        </w:rPr>
        <w:br/>
        <w:t>для проведення модульної контрольної роботи</w:t>
      </w:r>
    </w:p>
    <w:p w:rsidR="00C9243F" w:rsidRPr="00C9243F" w:rsidRDefault="00C9243F" w:rsidP="00C9243F">
      <w:pPr>
        <w:spacing w:line="360" w:lineRule="auto"/>
        <w:jc w:val="center"/>
        <w:rPr>
          <w:b/>
        </w:rPr>
      </w:pPr>
    </w:p>
    <w:p w:rsidR="00C9243F" w:rsidRPr="00C9243F" w:rsidRDefault="00C9243F" w:rsidP="00C9243F">
      <w:pPr>
        <w:spacing w:line="360" w:lineRule="auto"/>
        <w:jc w:val="center"/>
        <w:rPr>
          <w:b/>
          <w:u w:val="single"/>
        </w:rPr>
      </w:pPr>
      <w:r w:rsidRPr="00C9243F">
        <w:rPr>
          <w:b/>
          <w:u w:val="single"/>
        </w:rPr>
        <w:t>Навчально-науковий Юридичний інститут</w:t>
      </w:r>
    </w:p>
    <w:p w:rsidR="00C9243F" w:rsidRPr="00C9243F" w:rsidRDefault="00C9243F" w:rsidP="00C9243F">
      <w:pPr>
        <w:spacing w:line="360" w:lineRule="auto"/>
        <w:jc w:val="center"/>
      </w:pPr>
      <w:r w:rsidRPr="00C9243F">
        <w:t>(назва інституту (факультету))</w:t>
      </w:r>
    </w:p>
    <w:p w:rsidR="00C9243F" w:rsidRPr="00C9243F" w:rsidRDefault="00C9243F" w:rsidP="00C9243F">
      <w:pPr>
        <w:spacing w:line="360" w:lineRule="auto"/>
        <w:jc w:val="center"/>
        <w:rPr>
          <w:b/>
          <w:u w:val="single"/>
        </w:rPr>
      </w:pPr>
      <w:r w:rsidRPr="00C9243F">
        <w:rPr>
          <w:b/>
        </w:rPr>
        <w:t>Кафедра</w:t>
      </w:r>
      <w:r w:rsidRPr="00C9243F">
        <w:t xml:space="preserve"> </w:t>
      </w:r>
      <w:r w:rsidRPr="00C9243F">
        <w:rPr>
          <w:b/>
          <w:u w:val="single"/>
        </w:rPr>
        <w:t>Цивільного права і процесу</w:t>
      </w:r>
    </w:p>
    <w:p w:rsidR="00C9243F" w:rsidRPr="00C9243F" w:rsidRDefault="00C9243F" w:rsidP="00C9243F">
      <w:pPr>
        <w:spacing w:line="360" w:lineRule="auto"/>
        <w:rPr>
          <w:b/>
        </w:rPr>
      </w:pPr>
    </w:p>
    <w:p w:rsidR="00C9243F" w:rsidRPr="00C9243F" w:rsidRDefault="00C9243F" w:rsidP="00C9243F">
      <w:pPr>
        <w:spacing w:line="360" w:lineRule="auto"/>
        <w:rPr>
          <w:b/>
        </w:rPr>
      </w:pPr>
    </w:p>
    <w:p w:rsidR="00C9243F" w:rsidRPr="00C9243F" w:rsidRDefault="00C9243F" w:rsidP="00C9243F">
      <w:pPr>
        <w:spacing w:line="360" w:lineRule="auto"/>
        <w:rPr>
          <w:b/>
        </w:rPr>
      </w:pPr>
    </w:p>
    <w:p w:rsidR="00C9243F" w:rsidRPr="00C9243F" w:rsidRDefault="00C9243F" w:rsidP="00C9243F">
      <w:pPr>
        <w:spacing w:line="360" w:lineRule="auto"/>
        <w:jc w:val="right"/>
        <w:rPr>
          <w:b/>
        </w:rPr>
      </w:pPr>
      <w:r w:rsidRPr="00C9243F">
        <w:rPr>
          <w:b/>
        </w:rPr>
        <w:t>З</w:t>
      </w:r>
      <w:r>
        <w:rPr>
          <w:b/>
        </w:rPr>
        <w:t>АТВЕРДЖУЮ</w:t>
      </w:r>
    </w:p>
    <w:p w:rsidR="00C9243F" w:rsidRPr="00C9243F" w:rsidRDefault="00C9243F" w:rsidP="00C9243F">
      <w:pPr>
        <w:spacing w:line="360" w:lineRule="auto"/>
        <w:jc w:val="right"/>
        <w:rPr>
          <w:u w:val="single"/>
        </w:rPr>
      </w:pPr>
      <w:r w:rsidRPr="00C9243F">
        <w:t xml:space="preserve">Зав. кафедри ________ </w:t>
      </w:r>
      <w:proofErr w:type="spellStart"/>
      <w:r w:rsidRPr="00C9243F">
        <w:rPr>
          <w:u w:val="single"/>
        </w:rPr>
        <w:t>Вишновецька</w:t>
      </w:r>
      <w:proofErr w:type="spellEnd"/>
      <w:r w:rsidRPr="00C9243F">
        <w:rPr>
          <w:u w:val="single"/>
        </w:rPr>
        <w:t> С.В.</w:t>
      </w:r>
    </w:p>
    <w:p w:rsidR="00C9243F" w:rsidRPr="00C9243F" w:rsidRDefault="00C9243F" w:rsidP="00C9243F">
      <w:pPr>
        <w:spacing w:line="360" w:lineRule="auto"/>
        <w:jc w:val="right"/>
      </w:pPr>
      <w:r w:rsidRPr="00C9243F">
        <w:t xml:space="preserve">           (підпис)      …               (ПІБ)</w:t>
      </w:r>
    </w:p>
    <w:p w:rsidR="00C9243F" w:rsidRPr="00C9243F" w:rsidRDefault="00C9243F" w:rsidP="00C9243F">
      <w:pPr>
        <w:spacing w:line="360" w:lineRule="auto"/>
        <w:jc w:val="right"/>
      </w:pPr>
    </w:p>
    <w:p w:rsidR="00C9243F" w:rsidRPr="00C9243F" w:rsidRDefault="00C9243F" w:rsidP="00C9243F">
      <w:pPr>
        <w:spacing w:line="360" w:lineRule="auto"/>
        <w:jc w:val="right"/>
      </w:pPr>
      <w:r w:rsidRPr="00C9243F">
        <w:t>Протокол № 8 від 29 серпня 2018 р.</w:t>
      </w:r>
    </w:p>
    <w:p w:rsidR="00C9243F" w:rsidRPr="00C9243F" w:rsidRDefault="00C9243F" w:rsidP="00C9243F">
      <w:pPr>
        <w:spacing w:line="360" w:lineRule="auto"/>
      </w:pPr>
    </w:p>
    <w:p w:rsidR="00C9243F" w:rsidRPr="00C9243F" w:rsidRDefault="00C9243F" w:rsidP="00C9243F">
      <w:pPr>
        <w:spacing w:line="360" w:lineRule="auto"/>
        <w:rPr>
          <w:b/>
        </w:rPr>
      </w:pPr>
    </w:p>
    <w:p w:rsidR="00C9243F" w:rsidRPr="00C9243F" w:rsidRDefault="00C9243F" w:rsidP="00C9243F">
      <w:pPr>
        <w:spacing w:line="360" w:lineRule="auto"/>
        <w:rPr>
          <w:b/>
        </w:rPr>
      </w:pPr>
    </w:p>
    <w:p w:rsidR="00C9243F" w:rsidRPr="00C9243F" w:rsidRDefault="00C9243F" w:rsidP="00C9243F">
      <w:pPr>
        <w:spacing w:line="360" w:lineRule="auto"/>
        <w:jc w:val="center"/>
        <w:rPr>
          <w:b/>
          <w:u w:val="single"/>
        </w:rPr>
      </w:pPr>
      <w:r w:rsidRPr="00C9243F">
        <w:rPr>
          <w:b/>
        </w:rPr>
        <w:t>Модульна контрольна робота № </w:t>
      </w:r>
      <w:r w:rsidRPr="00C9243F">
        <w:rPr>
          <w:b/>
          <w:u w:val="single"/>
        </w:rPr>
        <w:t>2</w:t>
      </w:r>
    </w:p>
    <w:p w:rsidR="00C9243F" w:rsidRPr="00C9243F" w:rsidRDefault="00C9243F" w:rsidP="00C9243F">
      <w:pPr>
        <w:spacing w:line="360" w:lineRule="auto"/>
        <w:jc w:val="center"/>
        <w:rPr>
          <w:b/>
        </w:rPr>
      </w:pPr>
      <w:r w:rsidRPr="00C9243F">
        <w:rPr>
          <w:b/>
        </w:rPr>
        <w:t>з дисципліни «</w:t>
      </w:r>
      <w:r w:rsidRPr="00C9243F">
        <w:rPr>
          <w:b/>
          <w:u w:val="single"/>
        </w:rPr>
        <w:t>Трудове право та право соціального захисту</w:t>
      </w:r>
      <w:r w:rsidRPr="00C9243F">
        <w:rPr>
          <w:b/>
        </w:rPr>
        <w:t>»</w:t>
      </w:r>
    </w:p>
    <w:p w:rsidR="00C9243F" w:rsidRPr="00C9243F" w:rsidRDefault="00C9243F" w:rsidP="00C9243F">
      <w:pPr>
        <w:spacing w:line="360" w:lineRule="auto"/>
        <w:jc w:val="center"/>
        <w:rPr>
          <w:b/>
        </w:rPr>
      </w:pPr>
    </w:p>
    <w:p w:rsidR="00C9243F" w:rsidRPr="00C9243F" w:rsidRDefault="00C9243F" w:rsidP="00C9243F">
      <w:pPr>
        <w:spacing w:line="360" w:lineRule="auto"/>
        <w:rPr>
          <w:b/>
        </w:rPr>
      </w:pPr>
    </w:p>
    <w:p w:rsidR="00C9243F" w:rsidRPr="00C9243F" w:rsidRDefault="00C9243F" w:rsidP="00C9243F">
      <w:pPr>
        <w:spacing w:line="360" w:lineRule="auto"/>
        <w:rPr>
          <w:b/>
        </w:rPr>
      </w:pPr>
    </w:p>
    <w:p w:rsidR="00C9243F" w:rsidRPr="00C9243F" w:rsidRDefault="00C9243F" w:rsidP="00C9243F">
      <w:pPr>
        <w:spacing w:line="360" w:lineRule="auto"/>
        <w:rPr>
          <w:b/>
        </w:rPr>
      </w:pPr>
    </w:p>
    <w:p w:rsidR="00C9243F" w:rsidRPr="00C9243F" w:rsidRDefault="00C9243F" w:rsidP="00C9243F">
      <w:pPr>
        <w:spacing w:line="360" w:lineRule="auto"/>
        <w:rPr>
          <w:b/>
        </w:rPr>
      </w:pPr>
    </w:p>
    <w:p w:rsidR="00C9243F" w:rsidRPr="00C9243F" w:rsidRDefault="00C9243F" w:rsidP="00C9243F">
      <w:pPr>
        <w:spacing w:line="360" w:lineRule="auto"/>
        <w:rPr>
          <w:b/>
        </w:rPr>
      </w:pPr>
    </w:p>
    <w:p w:rsidR="00C9243F" w:rsidRPr="00C9243F" w:rsidRDefault="00C9243F" w:rsidP="00C9243F">
      <w:pPr>
        <w:spacing w:line="360" w:lineRule="auto"/>
        <w:rPr>
          <w:b/>
        </w:rPr>
      </w:pPr>
    </w:p>
    <w:p w:rsidR="00C9243F" w:rsidRPr="00C9243F" w:rsidRDefault="00C9243F" w:rsidP="00C9243F">
      <w:pPr>
        <w:spacing w:line="360" w:lineRule="auto"/>
        <w:rPr>
          <w:b/>
        </w:rPr>
      </w:pPr>
    </w:p>
    <w:p w:rsidR="00C9243F" w:rsidRPr="00C9243F" w:rsidRDefault="00C9243F" w:rsidP="00C9243F">
      <w:pPr>
        <w:rPr>
          <w:bCs/>
        </w:rPr>
      </w:pPr>
    </w:p>
    <w:p w:rsidR="00C9243F" w:rsidRPr="00C9243F" w:rsidRDefault="00C9243F" w:rsidP="00C9243F">
      <w:pPr>
        <w:rPr>
          <w:u w:val="single"/>
        </w:rPr>
      </w:pPr>
      <w:r w:rsidRPr="00C9243F">
        <w:t xml:space="preserve">                                              Розробник </w:t>
      </w:r>
      <w:proofErr w:type="spellStart"/>
      <w:r w:rsidRPr="00C9243F">
        <w:rPr>
          <w:u w:val="single"/>
        </w:rPr>
        <w:t>д.ю.н</w:t>
      </w:r>
      <w:proofErr w:type="spellEnd"/>
      <w:r w:rsidRPr="00C9243F">
        <w:rPr>
          <w:u w:val="single"/>
        </w:rPr>
        <w:t xml:space="preserve">., доцент </w:t>
      </w:r>
      <w:proofErr w:type="spellStart"/>
      <w:r w:rsidRPr="00C9243F">
        <w:rPr>
          <w:u w:val="single"/>
        </w:rPr>
        <w:t>Вишновецька</w:t>
      </w:r>
      <w:proofErr w:type="spellEnd"/>
      <w:r w:rsidRPr="00C9243F">
        <w:rPr>
          <w:u w:val="single"/>
        </w:rPr>
        <w:t> С. В.</w:t>
      </w:r>
    </w:p>
    <w:p w:rsidR="00C9243F" w:rsidRPr="00C9243F" w:rsidRDefault="00C9243F" w:rsidP="00C9243F">
      <w:pPr>
        <w:rPr>
          <w:sz w:val="16"/>
          <w:szCs w:val="16"/>
        </w:rPr>
      </w:pPr>
      <w:r w:rsidRPr="00C9243F">
        <w:t xml:space="preserve">                                                     </w:t>
      </w:r>
      <w:r>
        <w:t xml:space="preserve">                 </w:t>
      </w:r>
      <w:r w:rsidRPr="00C9243F">
        <w:rPr>
          <w:sz w:val="16"/>
          <w:szCs w:val="16"/>
        </w:rPr>
        <w:t>(науковий ступінь, вчене звання, П.І.Б. викладача)</w:t>
      </w:r>
    </w:p>
    <w:p w:rsidR="00C9243F" w:rsidRDefault="00C9243F" w:rsidP="00C9243F">
      <w:pPr>
        <w:rPr>
          <w:b/>
        </w:rPr>
      </w:pPr>
    </w:p>
    <w:p w:rsidR="00C9243F" w:rsidRDefault="00C9243F" w:rsidP="00C9243F">
      <w:pPr>
        <w:rPr>
          <w:b/>
        </w:rPr>
      </w:pPr>
    </w:p>
    <w:p w:rsidR="00C9243F" w:rsidRPr="00C9243F" w:rsidRDefault="00C9243F" w:rsidP="00C9243F">
      <w:pPr>
        <w:rPr>
          <w:b/>
        </w:rPr>
      </w:pPr>
      <w:r w:rsidRPr="00C9243F">
        <w:rPr>
          <w:b/>
        </w:rPr>
        <w:lastRenderedPageBreak/>
        <w:t>Модуль № 2 «Загальні положення права соціального захисту»</w:t>
      </w:r>
    </w:p>
    <w:p w:rsidR="00C9243F" w:rsidRPr="00C9243F" w:rsidRDefault="00C9243F" w:rsidP="00C9243F">
      <w:pPr>
        <w:rPr>
          <w:b/>
        </w:rPr>
      </w:pP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Поняття та загальна характеристика права на соціальне забезпечення.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Поняття і загальна характеристика організаційно-правових форм соціального забезпечення.</w:t>
      </w:r>
    </w:p>
    <w:p w:rsidR="00C9243F" w:rsidRPr="00C9243F" w:rsidRDefault="00C9243F" w:rsidP="00C9243F">
      <w:pPr>
        <w:numPr>
          <w:ilvl w:val="0"/>
          <w:numId w:val="1"/>
        </w:numPr>
      </w:pPr>
      <w:bookmarkStart w:id="0" w:name="_GoBack"/>
      <w:bookmarkEnd w:id="0"/>
      <w:r w:rsidRPr="00C9243F">
        <w:t>Загальнообов’язкове державне соціальне страхування.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Державне соціальне забезпечення.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Недержавне соціальне забезпечення.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Прожитковий мінімум як базовий державний соціальний стандарт.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Поняття та предмет права соціального захисту.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Функції права соціального захисту.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Система права соціального захисту.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Поняття і загальна характеристика принципів права соціального захисту.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Джерела права соціального захисту: поняття, зміст, види.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Поняття, основні ознаки, види правовідносин у сфері соціального забезпечення.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Юридичні факти в праві соціального захисту.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Суб’єкти правовідносин у сфері соціального забезпечення.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Об’єкти правовідносин у сфері соціального забезпечення.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Зміст соціально-забезпечувальних правовідносин.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Юридичні факти непрацездатності в праві соціального захисту.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Страховий і трудовий стаж та вислуга років як юридичні факти в праві соціального захисту.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Складні життєві обставини як юридичні факти в праві соціального захисту.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Строки в праві соціального захисту.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Поняття, загальна характеристика, структура пенсійної системи України.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Солідарна система загальнообов’язкового державного пенсійного страхування України.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Суб’єкти солідарної системи загальнообов’язкового державного пенсійного страхування.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Персоніфікований облік у системі загальнообов’язкового державного пенсійного страхування.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Порядок визначення заробітної плати (доходу) для обчислення пенсії.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Пенсії за віком у солідарній системі загальнообов’язкового державного пенсійного страхування.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Пенсії по інвалідності у солідарній системі загальнообов’язкового державного пенсійного страхування.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Пенсії в зв’язку з втратою годувальника у солідарній системі загальнообов’язкового державного пенсійного страхування.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Пенсії за особливі заслуги перед Україною.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Дострокові пенсії в системі державного пенсійного забезпечення.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 xml:space="preserve">Накопичувальна система загальнообов’язкового державного </w:t>
      </w:r>
      <w:r w:rsidRPr="00C9243F">
        <w:lastRenderedPageBreak/>
        <w:t>пенсійного страхування України.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Пенсійні виплати за рахунок коштів накопичувальної системи пенсійного страхування.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Система недержавного пенсійного забезпечення України.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Суб’єкти недержавного пенсійного забезпечення.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Пенсійні виплати в системі недержавного пенсійного забезпечення.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Поняття, принципи та загальна характеристика загальнообов’язкового державного соціального страхування.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Види матеріального забезпечення, що надаються за загальнообов’язковим державним соціальним страхуванням у зв’язку з тимчасовою втратою працездатності.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Поняття та загальна характеристика загальнообов’язкового державного соціального страхування на випадок безробіття.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Статус безробітного та його правові наслідки.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Допомоги за системою загальнообов’язкового державного соціального страхування на випадок безробіття.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Поняття та загальна характеристика соціальних допомог.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Класифікація соціальних допомог.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Поняття та загальна характеристика державних соціальних допомог.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Загальна характеристика державних соціальних допомог сім</w:t>
      </w:r>
      <w:r w:rsidRPr="00C9243F">
        <w:rPr>
          <w:lang w:val="ru-RU"/>
        </w:rPr>
        <w:t>’</w:t>
      </w:r>
      <w:r w:rsidRPr="00C9243F">
        <w:t>ям з дітьми.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Державна соціальна допомога малозабезпеченим сім</w:t>
      </w:r>
      <w:r w:rsidRPr="00C9243F">
        <w:rPr>
          <w:lang w:val="ru-RU"/>
        </w:rPr>
        <w:t>’</w:t>
      </w:r>
      <w:r w:rsidRPr="00C9243F">
        <w:t>ям.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Державна соціальна допомога особам з інвалідністю з дитинства та дітям з інвалідністю.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Державна соціальна допомога особам, які не мають права на пенсію, та особам з інвалідністю.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Тимчасова державна соціальна допомога непрацюючій особі, яка досягла загального пенсійного віку, але не набула права на пенсійну виплату.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Соціальні виплати дітям-сиротам та дітям, позбавленим батьківського піклування.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Одноразові допомоги в системі державних соціальних допомог.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Допомога на поховання.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Поняття соціального обслуговування.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Правовідносини в сфері соціального обслуговування.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Система надання соціальних послуг.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Порядок надання соціальних послуг.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Соціальні послуги, що надаються територіальними центрами соціального обслуговування.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Утримання дітей та непрацездатних осіб в інтернатних установах системи соціального захисту населення.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Утримання в інтернатних установах громадян похилого віку та осіб з інвалідністю.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t>Забезпечення окремих категорій населення технічними та іншими засобами реабілітації.</w:t>
      </w:r>
    </w:p>
    <w:p w:rsidR="00C9243F" w:rsidRPr="00C9243F" w:rsidRDefault="00C9243F" w:rsidP="00C9243F">
      <w:pPr>
        <w:numPr>
          <w:ilvl w:val="0"/>
          <w:numId w:val="1"/>
        </w:numPr>
      </w:pPr>
      <w:r w:rsidRPr="00C9243F">
        <w:lastRenderedPageBreak/>
        <w:t>Забезпечення осіб з інвалідністю автомобілями.</w:t>
      </w:r>
    </w:p>
    <w:p w:rsidR="0007413A" w:rsidRDefault="0007413A"/>
    <w:sectPr w:rsidR="00074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44974"/>
    <w:multiLevelType w:val="hybridMultilevel"/>
    <w:tmpl w:val="4C50F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3F"/>
    <w:rsid w:val="0007413A"/>
    <w:rsid w:val="004A446A"/>
    <w:rsid w:val="00A2323A"/>
    <w:rsid w:val="00C9243F"/>
    <w:rsid w:val="00DD0726"/>
    <w:rsid w:val="00E63F83"/>
    <w:rsid w:val="00F1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26"/>
    <w:pPr>
      <w:widowControl w:val="0"/>
      <w:ind w:firstLine="709"/>
    </w:pPr>
    <w:rPr>
      <w:rFonts w:ascii="Times New Roman" w:hAnsi="Times New Roman" w:cs="Courier New"/>
      <w:color w:val="000000"/>
      <w:sz w:val="28"/>
      <w:lang w:val="uk-UA" w:eastAsia="uk-UA"/>
    </w:rPr>
  </w:style>
  <w:style w:type="paragraph" w:styleId="1">
    <w:name w:val="heading 1"/>
    <w:basedOn w:val="a"/>
    <w:next w:val="a"/>
    <w:link w:val="10"/>
    <w:autoRedefine/>
    <w:uiPriority w:val="9"/>
    <w:qFormat/>
    <w:rsid w:val="00A2323A"/>
    <w:pPr>
      <w:keepNext/>
      <w:keepLines/>
      <w:spacing w:before="60" w:after="60"/>
      <w:ind w:firstLine="0"/>
      <w:jc w:val="center"/>
      <w:outlineLvl w:val="0"/>
    </w:pPr>
    <w:rPr>
      <w:rFonts w:eastAsiaTheme="majorEastAsia" w:cstheme="majorBidi"/>
      <w:b/>
      <w:bCs/>
      <w:color w:val="auto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2323A"/>
    <w:pPr>
      <w:keepNext/>
      <w:keepLines/>
      <w:spacing w:line="300" w:lineRule="auto"/>
      <w:jc w:val="both"/>
      <w:outlineLvl w:val="1"/>
    </w:pPr>
    <w:rPr>
      <w:rFonts w:eastAsiaTheme="majorEastAsia" w:cstheme="majorBidi"/>
      <w:bCs/>
      <w:color w:val="auto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A44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4A446A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A2323A"/>
    <w:rPr>
      <w:rFonts w:ascii="Times New Roman" w:eastAsiaTheme="majorEastAsia" w:hAnsi="Times New Roman" w:cstheme="majorBidi"/>
      <w:bCs/>
      <w:sz w:val="28"/>
      <w:szCs w:val="26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A2323A"/>
    <w:rPr>
      <w:rFonts w:ascii="Times New Roman" w:eastAsiaTheme="majorEastAsia" w:hAnsi="Times New Roman" w:cstheme="majorBidi"/>
      <w:b/>
      <w:bCs/>
      <w:sz w:val="28"/>
      <w:szCs w:val="28"/>
      <w:lang w:val="uk-UA" w:eastAsia="uk-UA"/>
    </w:rPr>
  </w:style>
  <w:style w:type="paragraph" w:styleId="11">
    <w:name w:val="toc 1"/>
    <w:basedOn w:val="a"/>
    <w:next w:val="2"/>
    <w:autoRedefine/>
    <w:uiPriority w:val="39"/>
    <w:rsid w:val="00E63F83"/>
    <w:pPr>
      <w:widowControl/>
      <w:spacing w:line="360" w:lineRule="auto"/>
      <w:ind w:firstLine="567"/>
      <w:jc w:val="both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26"/>
    <w:pPr>
      <w:widowControl w:val="0"/>
      <w:ind w:firstLine="709"/>
    </w:pPr>
    <w:rPr>
      <w:rFonts w:ascii="Times New Roman" w:hAnsi="Times New Roman" w:cs="Courier New"/>
      <w:color w:val="000000"/>
      <w:sz w:val="28"/>
      <w:lang w:val="uk-UA" w:eastAsia="uk-UA"/>
    </w:rPr>
  </w:style>
  <w:style w:type="paragraph" w:styleId="1">
    <w:name w:val="heading 1"/>
    <w:basedOn w:val="a"/>
    <w:next w:val="a"/>
    <w:link w:val="10"/>
    <w:autoRedefine/>
    <w:uiPriority w:val="9"/>
    <w:qFormat/>
    <w:rsid w:val="00A2323A"/>
    <w:pPr>
      <w:keepNext/>
      <w:keepLines/>
      <w:spacing w:before="60" w:after="60"/>
      <w:ind w:firstLine="0"/>
      <w:jc w:val="center"/>
      <w:outlineLvl w:val="0"/>
    </w:pPr>
    <w:rPr>
      <w:rFonts w:eastAsiaTheme="majorEastAsia" w:cstheme="majorBidi"/>
      <w:b/>
      <w:bCs/>
      <w:color w:val="auto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2323A"/>
    <w:pPr>
      <w:keepNext/>
      <w:keepLines/>
      <w:spacing w:line="300" w:lineRule="auto"/>
      <w:jc w:val="both"/>
      <w:outlineLvl w:val="1"/>
    </w:pPr>
    <w:rPr>
      <w:rFonts w:eastAsiaTheme="majorEastAsia" w:cstheme="majorBidi"/>
      <w:bCs/>
      <w:color w:val="auto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A44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4A446A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A2323A"/>
    <w:rPr>
      <w:rFonts w:ascii="Times New Roman" w:eastAsiaTheme="majorEastAsia" w:hAnsi="Times New Roman" w:cstheme="majorBidi"/>
      <w:bCs/>
      <w:sz w:val="28"/>
      <w:szCs w:val="26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A2323A"/>
    <w:rPr>
      <w:rFonts w:ascii="Times New Roman" w:eastAsiaTheme="majorEastAsia" w:hAnsi="Times New Roman" w:cstheme="majorBidi"/>
      <w:b/>
      <w:bCs/>
      <w:sz w:val="28"/>
      <w:szCs w:val="28"/>
      <w:lang w:val="uk-UA" w:eastAsia="uk-UA"/>
    </w:rPr>
  </w:style>
  <w:style w:type="paragraph" w:styleId="11">
    <w:name w:val="toc 1"/>
    <w:basedOn w:val="a"/>
    <w:next w:val="2"/>
    <w:autoRedefine/>
    <w:uiPriority w:val="39"/>
    <w:rsid w:val="00E63F83"/>
    <w:pPr>
      <w:widowControl/>
      <w:spacing w:line="360" w:lineRule="auto"/>
      <w:ind w:firstLine="567"/>
      <w:jc w:val="both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720</Words>
  <Characters>4106</Characters>
  <Application>Microsoft Office Word</Application>
  <DocSecurity>0</DocSecurity>
  <Lines>34</Lines>
  <Paragraphs>9</Paragraphs>
  <ScaleCrop>false</ScaleCrop>
  <Company>Home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2018-09-29T09:36:00Z</dcterms:created>
  <dcterms:modified xsi:type="dcterms:W3CDTF">2018-09-29T09:42:00Z</dcterms:modified>
</cp:coreProperties>
</file>