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9D" w:rsidRDefault="0074589D" w:rsidP="0082460D">
      <w:pPr>
        <w:spacing w:line="360" w:lineRule="auto"/>
        <w:jc w:val="center"/>
        <w:rPr>
          <w:b/>
          <w:caps/>
          <w:sz w:val="26"/>
          <w:szCs w:val="26"/>
          <w:lang w:eastAsia="ar-SA"/>
        </w:rPr>
      </w:pPr>
      <w:r>
        <w:rPr>
          <w:b/>
          <w:caps/>
          <w:sz w:val="26"/>
          <w:szCs w:val="26"/>
          <w:lang w:eastAsia="ar-SA"/>
        </w:rPr>
        <w:t>НАВЧАЛЬНО-НАУКОВИЙ ЮРИДИЧНИЙ ІНСТИТУТ</w:t>
      </w:r>
    </w:p>
    <w:p w:rsidR="0074589D" w:rsidRPr="001852BF" w:rsidRDefault="0074589D" w:rsidP="0082460D">
      <w:pPr>
        <w:spacing w:line="360" w:lineRule="auto"/>
        <w:jc w:val="center"/>
        <w:rPr>
          <w:b/>
          <w:caps/>
          <w:sz w:val="18"/>
          <w:szCs w:val="28"/>
          <w:lang w:eastAsia="ar-SA"/>
        </w:rPr>
      </w:pPr>
      <w:r>
        <w:rPr>
          <w:b/>
          <w:caps/>
          <w:sz w:val="26"/>
          <w:szCs w:val="26"/>
          <w:lang w:eastAsia="ar-SA"/>
        </w:rPr>
        <w:t>КАФЕДРА ЦИВІЛЬНОГО ПРАВА І ПРОЦЕСУ</w:t>
      </w:r>
    </w:p>
    <w:p w:rsidR="0074589D" w:rsidRDefault="0074589D" w:rsidP="0082460D">
      <w:pPr>
        <w:spacing w:line="360" w:lineRule="auto"/>
        <w:ind w:firstLine="4320"/>
        <w:jc w:val="center"/>
        <w:rPr>
          <w:b/>
          <w:caps/>
          <w:sz w:val="28"/>
          <w:szCs w:val="28"/>
          <w:lang w:eastAsia="ar-SA"/>
        </w:rPr>
      </w:pPr>
    </w:p>
    <w:p w:rsidR="0074589D" w:rsidRPr="00C0504A" w:rsidRDefault="0074589D" w:rsidP="0082460D">
      <w:pPr>
        <w:spacing w:line="360" w:lineRule="auto"/>
        <w:ind w:firstLine="4320"/>
        <w:jc w:val="center"/>
        <w:rPr>
          <w:b/>
          <w:caps/>
          <w:sz w:val="28"/>
          <w:szCs w:val="28"/>
          <w:lang w:eastAsia="ar-SA"/>
        </w:rPr>
      </w:pPr>
      <w:r w:rsidRPr="00C0504A">
        <w:rPr>
          <w:b/>
          <w:caps/>
          <w:sz w:val="28"/>
          <w:szCs w:val="28"/>
          <w:lang w:eastAsia="ar-SA"/>
        </w:rPr>
        <w:t>Затверджую</w:t>
      </w:r>
    </w:p>
    <w:p w:rsidR="0074589D" w:rsidRPr="00C0504A" w:rsidRDefault="0074589D" w:rsidP="0082460D">
      <w:pPr>
        <w:spacing w:line="360" w:lineRule="auto"/>
        <w:ind w:firstLine="4140"/>
        <w:rPr>
          <w:sz w:val="28"/>
          <w:szCs w:val="28"/>
          <w:lang w:eastAsia="ar-SA"/>
        </w:rPr>
      </w:pPr>
      <w:r w:rsidRPr="00C0504A">
        <w:rPr>
          <w:sz w:val="28"/>
          <w:szCs w:val="28"/>
          <w:lang w:eastAsia="ar-SA"/>
        </w:rPr>
        <w:t xml:space="preserve">Зав. кафедри ________ </w:t>
      </w:r>
      <w:r>
        <w:rPr>
          <w:sz w:val="28"/>
          <w:szCs w:val="28"/>
          <w:lang w:eastAsia="ar-SA"/>
        </w:rPr>
        <w:t>Вишновецька С. В.</w:t>
      </w:r>
    </w:p>
    <w:p w:rsidR="0074589D" w:rsidRPr="00C0504A" w:rsidRDefault="0074589D" w:rsidP="0082460D">
      <w:pPr>
        <w:spacing w:line="360" w:lineRule="auto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</w:t>
      </w:r>
      <w:r w:rsidRPr="00C0504A">
        <w:rPr>
          <w:sz w:val="16"/>
          <w:szCs w:val="16"/>
          <w:lang w:eastAsia="ar-SA"/>
        </w:rPr>
        <w:t xml:space="preserve">       (підпис)                                </w:t>
      </w:r>
    </w:p>
    <w:p w:rsidR="0074589D" w:rsidRPr="00C0504A" w:rsidRDefault="0074589D" w:rsidP="0082460D">
      <w:pPr>
        <w:spacing w:line="360" w:lineRule="auto"/>
        <w:rPr>
          <w:cap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</w:t>
      </w:r>
      <w:r w:rsidRPr="00C0504A">
        <w:rPr>
          <w:sz w:val="28"/>
          <w:szCs w:val="28"/>
          <w:lang w:eastAsia="ar-SA"/>
        </w:rPr>
        <w:t>«______»____________________20___</w:t>
      </w:r>
      <w:r>
        <w:rPr>
          <w:sz w:val="28"/>
          <w:szCs w:val="28"/>
          <w:lang w:eastAsia="ar-SA"/>
        </w:rPr>
        <w:t xml:space="preserve"> </w:t>
      </w:r>
      <w:r w:rsidRPr="00C0504A">
        <w:rPr>
          <w:sz w:val="28"/>
          <w:szCs w:val="28"/>
          <w:lang w:eastAsia="ar-SA"/>
        </w:rPr>
        <w:t>р.</w:t>
      </w:r>
    </w:p>
    <w:p w:rsidR="0074589D" w:rsidRPr="00C0504A" w:rsidRDefault="0074589D" w:rsidP="0082460D">
      <w:pPr>
        <w:shd w:val="clear" w:color="auto" w:fill="FFFFFF"/>
        <w:spacing w:line="360" w:lineRule="auto"/>
        <w:rPr>
          <w:color w:val="000000"/>
          <w:lang w:eastAsia="ar-SA"/>
        </w:rPr>
      </w:pPr>
    </w:p>
    <w:p w:rsidR="0074589D" w:rsidRDefault="0074589D" w:rsidP="0082460D">
      <w:pPr>
        <w:shd w:val="clear" w:color="auto" w:fill="FFFFFF"/>
        <w:spacing w:line="360" w:lineRule="auto"/>
        <w:jc w:val="center"/>
        <w:rPr>
          <w:b/>
          <w:caps/>
          <w:color w:val="000000"/>
          <w:sz w:val="28"/>
          <w:szCs w:val="28"/>
          <w:lang w:eastAsia="ar-SA"/>
        </w:rPr>
      </w:pPr>
    </w:p>
    <w:p w:rsidR="0074589D" w:rsidRDefault="0074589D" w:rsidP="0082460D">
      <w:pPr>
        <w:shd w:val="clear" w:color="auto" w:fill="FFFFFF"/>
        <w:spacing w:line="360" w:lineRule="auto"/>
        <w:jc w:val="center"/>
        <w:rPr>
          <w:b/>
          <w:caps/>
          <w:color w:val="000000"/>
          <w:sz w:val="28"/>
          <w:szCs w:val="28"/>
          <w:lang w:eastAsia="ar-SA"/>
        </w:rPr>
      </w:pPr>
    </w:p>
    <w:p w:rsidR="0074589D" w:rsidRPr="005B112F" w:rsidRDefault="0074589D" w:rsidP="0082460D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ru-RU" w:eastAsia="ar-SA"/>
        </w:rPr>
      </w:pPr>
      <w:r w:rsidRPr="00C0504A">
        <w:rPr>
          <w:b/>
          <w:caps/>
          <w:color w:val="000000"/>
          <w:sz w:val="28"/>
          <w:szCs w:val="28"/>
          <w:lang w:eastAsia="ar-SA"/>
        </w:rPr>
        <w:t>Модульна контрольна робота</w:t>
      </w:r>
      <w:r w:rsidRPr="00C0504A">
        <w:rPr>
          <w:b/>
          <w:color w:val="000000"/>
          <w:sz w:val="28"/>
          <w:szCs w:val="28"/>
          <w:lang w:eastAsia="ar-SA"/>
        </w:rPr>
        <w:t xml:space="preserve"> №</w:t>
      </w:r>
      <w:r w:rsidRPr="005B112F">
        <w:rPr>
          <w:b/>
          <w:color w:val="000000"/>
          <w:sz w:val="28"/>
          <w:szCs w:val="28"/>
          <w:lang w:val="ru-RU" w:eastAsia="ar-SA"/>
        </w:rPr>
        <w:t>2</w:t>
      </w:r>
    </w:p>
    <w:p w:rsidR="0074589D" w:rsidRPr="00C0504A" w:rsidRDefault="0074589D" w:rsidP="0082460D">
      <w:pPr>
        <w:shd w:val="clear" w:color="auto" w:fill="FFFFFF"/>
        <w:spacing w:line="360" w:lineRule="auto"/>
        <w:jc w:val="center"/>
        <w:rPr>
          <w:b/>
          <w:color w:val="000000"/>
          <w:lang w:eastAsia="ar-SA"/>
        </w:rPr>
      </w:pPr>
      <w:r w:rsidRPr="00C0504A">
        <w:rPr>
          <w:b/>
          <w:color w:val="000000"/>
          <w:sz w:val="28"/>
          <w:szCs w:val="28"/>
          <w:lang w:eastAsia="ar-SA"/>
        </w:rPr>
        <w:t>з дисципліни «</w:t>
      </w:r>
      <w:r>
        <w:rPr>
          <w:b/>
          <w:color w:val="000000"/>
          <w:sz w:val="28"/>
          <w:szCs w:val="28"/>
          <w:lang w:eastAsia="ar-SA"/>
        </w:rPr>
        <w:t>Цивільний процес</w:t>
      </w:r>
      <w:r w:rsidRPr="00C0504A">
        <w:rPr>
          <w:b/>
          <w:color w:val="000000"/>
          <w:sz w:val="28"/>
          <w:szCs w:val="28"/>
          <w:lang w:eastAsia="ar-SA"/>
        </w:rPr>
        <w:t>»</w:t>
      </w:r>
    </w:p>
    <w:p w:rsidR="0074589D" w:rsidRPr="0082460D" w:rsidRDefault="0074589D" w:rsidP="00564A92">
      <w:pPr>
        <w:ind w:firstLine="301"/>
        <w:jc w:val="center"/>
        <w:rPr>
          <w:bCs/>
          <w:sz w:val="28"/>
          <w:szCs w:val="28"/>
        </w:rPr>
      </w:pPr>
    </w:p>
    <w:p w:rsidR="0074589D" w:rsidRDefault="0074589D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74589D" w:rsidRDefault="0074589D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74589D" w:rsidRDefault="0074589D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74589D" w:rsidRDefault="0074589D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74589D" w:rsidRDefault="0074589D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74589D" w:rsidRDefault="0074589D" w:rsidP="00564A92">
      <w:pPr>
        <w:ind w:firstLine="301"/>
        <w:jc w:val="center"/>
        <w:rPr>
          <w:bCs/>
          <w:sz w:val="28"/>
          <w:szCs w:val="28"/>
          <w:lang w:val="ru-RU"/>
        </w:rPr>
      </w:pPr>
    </w:p>
    <w:p w:rsidR="0074589D" w:rsidRDefault="0074589D" w:rsidP="00564A92">
      <w:pPr>
        <w:jc w:val="center"/>
        <w:rPr>
          <w:bCs/>
          <w:sz w:val="28"/>
          <w:szCs w:val="28"/>
          <w:lang w:val="ru-RU"/>
        </w:rPr>
      </w:pPr>
    </w:p>
    <w:p w:rsidR="0074589D" w:rsidRDefault="0074589D" w:rsidP="00564A92">
      <w:pPr>
        <w:jc w:val="center"/>
        <w:rPr>
          <w:bCs/>
          <w:sz w:val="28"/>
          <w:szCs w:val="28"/>
          <w:lang w:val="ru-RU"/>
        </w:rPr>
      </w:pPr>
    </w:p>
    <w:p w:rsidR="0074589D" w:rsidRDefault="0074589D" w:rsidP="00564A92">
      <w:pPr>
        <w:jc w:val="center"/>
        <w:rPr>
          <w:bCs/>
          <w:sz w:val="28"/>
          <w:szCs w:val="28"/>
          <w:lang w:val="ru-RU"/>
        </w:rPr>
      </w:pPr>
    </w:p>
    <w:p w:rsidR="0074589D" w:rsidRDefault="0074589D" w:rsidP="00564A92">
      <w:pPr>
        <w:jc w:val="center"/>
        <w:rPr>
          <w:bCs/>
          <w:sz w:val="28"/>
          <w:szCs w:val="28"/>
          <w:lang w:val="ru-RU"/>
        </w:rPr>
      </w:pPr>
    </w:p>
    <w:p w:rsidR="0074589D" w:rsidRDefault="0074589D" w:rsidP="00564A92">
      <w:pPr>
        <w:jc w:val="center"/>
        <w:rPr>
          <w:bCs/>
          <w:sz w:val="28"/>
          <w:szCs w:val="28"/>
          <w:lang w:val="ru-RU"/>
        </w:rPr>
      </w:pPr>
    </w:p>
    <w:p w:rsidR="0074589D" w:rsidRDefault="0074589D" w:rsidP="00564A92">
      <w:pPr>
        <w:jc w:val="center"/>
        <w:rPr>
          <w:bCs/>
          <w:sz w:val="28"/>
          <w:szCs w:val="28"/>
          <w:lang w:val="ru-RU"/>
        </w:rPr>
      </w:pPr>
    </w:p>
    <w:p w:rsidR="0074589D" w:rsidRDefault="0074589D" w:rsidP="00564A92">
      <w:pPr>
        <w:jc w:val="center"/>
        <w:rPr>
          <w:bCs/>
          <w:sz w:val="28"/>
          <w:szCs w:val="28"/>
          <w:lang w:val="ru-RU"/>
        </w:rPr>
      </w:pPr>
    </w:p>
    <w:p w:rsidR="0074589D" w:rsidRDefault="0074589D" w:rsidP="00564A92">
      <w:pPr>
        <w:jc w:val="center"/>
        <w:rPr>
          <w:bCs/>
          <w:sz w:val="28"/>
          <w:szCs w:val="28"/>
          <w:lang w:val="ru-RU"/>
        </w:rPr>
      </w:pPr>
    </w:p>
    <w:p w:rsidR="0074589D" w:rsidRDefault="0074589D" w:rsidP="00564A92">
      <w:pPr>
        <w:jc w:val="center"/>
        <w:rPr>
          <w:bCs/>
          <w:sz w:val="28"/>
          <w:szCs w:val="28"/>
          <w:lang w:val="ru-RU"/>
        </w:rPr>
      </w:pPr>
    </w:p>
    <w:p w:rsidR="0074589D" w:rsidRDefault="0074589D" w:rsidP="00564A92">
      <w:pPr>
        <w:jc w:val="center"/>
        <w:rPr>
          <w:bCs/>
          <w:sz w:val="28"/>
          <w:szCs w:val="28"/>
          <w:lang w:val="ru-RU"/>
        </w:rPr>
      </w:pPr>
    </w:p>
    <w:p w:rsidR="0074589D" w:rsidRDefault="0074589D" w:rsidP="0026236E">
      <w:pPr>
        <w:ind w:left="4248"/>
        <w:rPr>
          <w:bCs/>
          <w:sz w:val="28"/>
          <w:szCs w:val="28"/>
        </w:rPr>
      </w:pPr>
      <w:r>
        <w:rPr>
          <w:bCs/>
          <w:sz w:val="28"/>
          <w:szCs w:val="28"/>
        </w:rPr>
        <w:t>Розробник: д.ю.н., професор Тімуш І.С.</w:t>
      </w:r>
    </w:p>
    <w:p w:rsidR="0074589D" w:rsidRPr="0026236E" w:rsidRDefault="0074589D" w:rsidP="0082460D">
      <w:pPr>
        <w:ind w:firstLine="709"/>
        <w:rPr>
          <w:bCs/>
          <w:sz w:val="28"/>
          <w:szCs w:val="28"/>
        </w:rPr>
      </w:pPr>
    </w:p>
    <w:p w:rsidR="0074589D" w:rsidRDefault="0074589D" w:rsidP="00564A92">
      <w:pPr>
        <w:jc w:val="center"/>
        <w:rPr>
          <w:bCs/>
          <w:sz w:val="28"/>
          <w:szCs w:val="28"/>
          <w:lang w:val="ru-RU"/>
        </w:rPr>
      </w:pPr>
    </w:p>
    <w:p w:rsidR="0074589D" w:rsidRDefault="0074589D" w:rsidP="00564A92">
      <w:pPr>
        <w:jc w:val="center"/>
        <w:rPr>
          <w:bCs/>
          <w:sz w:val="28"/>
          <w:szCs w:val="28"/>
          <w:lang w:val="ru-RU"/>
        </w:rPr>
      </w:pPr>
    </w:p>
    <w:p w:rsidR="0074589D" w:rsidRDefault="0074589D" w:rsidP="00564A92">
      <w:pPr>
        <w:jc w:val="center"/>
        <w:rPr>
          <w:bCs/>
          <w:sz w:val="28"/>
          <w:szCs w:val="28"/>
          <w:lang w:val="ru-RU"/>
        </w:rPr>
      </w:pPr>
    </w:p>
    <w:p w:rsidR="0074589D" w:rsidRDefault="0074589D" w:rsidP="00564A92">
      <w:pPr>
        <w:jc w:val="center"/>
        <w:rPr>
          <w:bCs/>
          <w:sz w:val="28"/>
          <w:szCs w:val="28"/>
          <w:lang w:val="ru-RU"/>
        </w:rPr>
      </w:pPr>
    </w:p>
    <w:p w:rsidR="0074589D" w:rsidRDefault="0074589D" w:rsidP="00564A92">
      <w:pPr>
        <w:jc w:val="center"/>
        <w:rPr>
          <w:bCs/>
          <w:sz w:val="28"/>
          <w:szCs w:val="28"/>
        </w:rPr>
      </w:pPr>
    </w:p>
    <w:p w:rsidR="0074589D" w:rsidRDefault="0074589D" w:rsidP="00564A92">
      <w:pPr>
        <w:ind w:firstLine="567"/>
        <w:jc w:val="center"/>
        <w:rPr>
          <w:b/>
          <w:sz w:val="28"/>
          <w:szCs w:val="28"/>
        </w:rPr>
      </w:pPr>
    </w:p>
    <w:p w:rsidR="0074589D" w:rsidRDefault="0074589D" w:rsidP="00564A92">
      <w:pPr>
        <w:ind w:firstLine="567"/>
        <w:jc w:val="center"/>
        <w:rPr>
          <w:b/>
          <w:sz w:val="28"/>
          <w:szCs w:val="28"/>
        </w:rPr>
      </w:pPr>
    </w:p>
    <w:p w:rsidR="0074589D" w:rsidRDefault="0074589D" w:rsidP="00564A92">
      <w:pPr>
        <w:ind w:firstLine="567"/>
        <w:jc w:val="center"/>
        <w:rPr>
          <w:b/>
          <w:sz w:val="28"/>
          <w:szCs w:val="28"/>
        </w:rPr>
      </w:pPr>
    </w:p>
    <w:p w:rsidR="0074589D" w:rsidRDefault="0074589D" w:rsidP="00564A92">
      <w:pPr>
        <w:ind w:firstLine="567"/>
        <w:jc w:val="center"/>
        <w:rPr>
          <w:b/>
          <w:sz w:val="28"/>
          <w:szCs w:val="28"/>
        </w:rPr>
      </w:pPr>
    </w:p>
    <w:p w:rsidR="0074589D" w:rsidRPr="00EC2347" w:rsidRDefault="0074589D" w:rsidP="00EC234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C2347">
        <w:rPr>
          <w:b/>
          <w:sz w:val="28"/>
          <w:szCs w:val="28"/>
        </w:rPr>
        <w:t>МОДУЛЬ №2 «Докази, процесуальні строки, судові витрати, санкції у цивільному процесі»</w:t>
      </w:r>
    </w:p>
    <w:p w:rsidR="0074589D" w:rsidRPr="00EC2347" w:rsidRDefault="0074589D" w:rsidP="00EC2347">
      <w:pPr>
        <w:pStyle w:val="PlainText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4589D" w:rsidRPr="00020B39" w:rsidRDefault="0074589D" w:rsidP="000C739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20B39">
        <w:rPr>
          <w:b/>
          <w:sz w:val="28"/>
          <w:szCs w:val="28"/>
        </w:rPr>
        <w:t>Докази і доказування</w:t>
      </w:r>
    </w:p>
    <w:p w:rsidR="0074589D" w:rsidRPr="00020B39" w:rsidRDefault="0074589D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>Доказування в цивільному судочинстві. Поняття і мета доказування в цивільному процесі. Поняття доказів у цивільній справі. Фактичні дані та засоби доказування. Доказові факти.</w:t>
      </w:r>
    </w:p>
    <w:p w:rsidR="0074589D" w:rsidRPr="00020B39" w:rsidRDefault="0074589D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>Поняття предмету доказування. Визначення предмету доказування за конкретними цивільними справами.</w:t>
      </w:r>
    </w:p>
    <w:p w:rsidR="0074589D" w:rsidRPr="00020B39" w:rsidRDefault="0074589D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>Обставини, які не підлягають доказуванню. Розподіл між сторонами обов’язку  щодо доказування. Роль суду у збиранні доказів.</w:t>
      </w:r>
    </w:p>
    <w:p w:rsidR="0074589D" w:rsidRPr="00020B39" w:rsidRDefault="0074589D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>Належність доказів і допустимість засобів доказування. Оцінка доказів.</w:t>
      </w:r>
    </w:p>
    <w:p w:rsidR="0074589D" w:rsidRPr="00020B39" w:rsidRDefault="0074589D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>Класифікація доказів: прямі та побічні; первинні та похідні; усні та письмові; особисті та речові.</w:t>
      </w:r>
    </w:p>
    <w:p w:rsidR="0074589D" w:rsidRPr="00020B39" w:rsidRDefault="0074589D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>Види засобів доказування. Пояснення сторін і третіх осіб, їх представників.</w:t>
      </w:r>
    </w:p>
    <w:p w:rsidR="0074589D" w:rsidRPr="00020B39" w:rsidRDefault="0074589D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>Показання свідків, процесуальний порядок допиту, їх права й обов’язки.</w:t>
      </w:r>
    </w:p>
    <w:p w:rsidR="0074589D" w:rsidRPr="00020B39" w:rsidRDefault="0074589D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>Письмові докази, їх види, порядок витребування, їх огляд на місці.</w:t>
      </w:r>
    </w:p>
    <w:p w:rsidR="0074589D" w:rsidRPr="00020B39" w:rsidRDefault="0074589D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>Речові докази. Порядок їх подання і зберігання. Огляд на місці.</w:t>
      </w:r>
    </w:p>
    <w:p w:rsidR="0074589D" w:rsidRPr="00020B39" w:rsidRDefault="0074589D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>Експертиза в цивільному процесі. Підстави для її проведення. Порядок проведення. Висновки експерта. Процесуальні права й обов’язки експерта. Забезпечення доказів: способи забезпечення доказів, порядок забезпечення доказів, процесуальні документи по забезпеченню доказів. Судові доручення як спосіб забезпечення доказів.</w:t>
      </w:r>
    </w:p>
    <w:p w:rsidR="0074589D" w:rsidRPr="00020B39" w:rsidRDefault="0074589D" w:rsidP="000C7397">
      <w:pPr>
        <w:pStyle w:val="PlainTex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589D" w:rsidRPr="00020B39" w:rsidRDefault="0074589D" w:rsidP="000C739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20B39">
        <w:rPr>
          <w:b/>
          <w:sz w:val="28"/>
          <w:szCs w:val="28"/>
        </w:rPr>
        <w:t>Процесуальні строки</w:t>
      </w:r>
    </w:p>
    <w:p w:rsidR="0074589D" w:rsidRPr="00020B39" w:rsidRDefault="0074589D" w:rsidP="000C7397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020B39">
        <w:rPr>
          <w:sz w:val="28"/>
          <w:szCs w:val="28"/>
        </w:rPr>
        <w:t>Поняття та види процесуальних строків. Значення процесуальних строків. Порядок обрахування процесуальних строків.</w:t>
      </w:r>
    </w:p>
    <w:p w:rsidR="0074589D" w:rsidRPr="00020B39" w:rsidRDefault="0074589D" w:rsidP="000C7397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</w:p>
    <w:p w:rsidR="0074589D" w:rsidRPr="00020B39" w:rsidRDefault="0074589D" w:rsidP="000C739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20B39">
        <w:rPr>
          <w:b/>
          <w:sz w:val="28"/>
          <w:szCs w:val="28"/>
        </w:rPr>
        <w:t>Судові витрати</w:t>
      </w:r>
    </w:p>
    <w:p w:rsidR="0074589D" w:rsidRPr="00020B39" w:rsidRDefault="0074589D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 xml:space="preserve"> Поняття та види судових витрат у цивільному процесі, їх значеня. Судовий збір. Витрати, пов’язані з розглядом справи. Звільнення від судових витрат. Підстави та порядок відшкодування судових витрат.</w:t>
      </w:r>
    </w:p>
    <w:p w:rsidR="0074589D" w:rsidRDefault="0074589D" w:rsidP="00F9744B">
      <w:pPr>
        <w:pStyle w:val="PlainTex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589D" w:rsidRPr="00020B39" w:rsidRDefault="0074589D" w:rsidP="000C739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20B39">
        <w:rPr>
          <w:b/>
          <w:sz w:val="28"/>
          <w:szCs w:val="28"/>
        </w:rPr>
        <w:t>Відповідальність у цивільному процесі</w:t>
      </w:r>
    </w:p>
    <w:p w:rsidR="0074589D" w:rsidRPr="00020B39" w:rsidRDefault="0074589D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>Цивільно-процесуальна відповідальність як самостійний вид санкції цивільного судочинства. Поняття, види і функції цивільної процесуальної відповідальності. Порядок притягнення до цивільної процесуальної відповідальності.</w:t>
      </w:r>
    </w:p>
    <w:p w:rsidR="0074589D" w:rsidRPr="00020B39" w:rsidRDefault="0074589D" w:rsidP="000C7397">
      <w:pPr>
        <w:shd w:val="clear" w:color="auto" w:fill="FFFFFF"/>
        <w:ind w:firstLine="709"/>
        <w:jc w:val="both"/>
        <w:rPr>
          <w:sz w:val="28"/>
          <w:szCs w:val="28"/>
        </w:rPr>
      </w:pPr>
      <w:r w:rsidRPr="00020B39">
        <w:rPr>
          <w:sz w:val="28"/>
          <w:szCs w:val="28"/>
        </w:rPr>
        <w:t xml:space="preserve">Інші види відповідальності у цивільному процесі: майнова, адміністративна, дисциплінарна, кримінальна відповідальність. Підстави та порядок притягнення до даних видів відповідальності. </w:t>
      </w:r>
    </w:p>
    <w:p w:rsidR="0074589D" w:rsidRDefault="0074589D" w:rsidP="00936F58">
      <w:pPr>
        <w:pStyle w:val="PlainTex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589D" w:rsidRPr="00936F58" w:rsidRDefault="0074589D" w:rsidP="000C7397">
      <w:pPr>
        <w:shd w:val="clear" w:color="auto" w:fill="FFFFFF"/>
        <w:ind w:firstLine="709"/>
        <w:jc w:val="center"/>
        <w:rPr>
          <w:sz w:val="28"/>
          <w:szCs w:val="28"/>
        </w:rPr>
      </w:pPr>
    </w:p>
    <w:sectPr w:rsidR="0074589D" w:rsidRPr="00936F58" w:rsidSect="00AF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ext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6670"/>
    <w:multiLevelType w:val="hybridMultilevel"/>
    <w:tmpl w:val="2ED4C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88969A"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8F3415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FE539E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6D60EF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F67A11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3B32F5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7C582A"/>
    <w:multiLevelType w:val="hybridMultilevel"/>
    <w:tmpl w:val="F984E7D2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2402B8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DF76655"/>
    <w:multiLevelType w:val="hybridMultilevel"/>
    <w:tmpl w:val="2ED4C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88969A"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56666A"/>
    <w:multiLevelType w:val="hybridMultilevel"/>
    <w:tmpl w:val="5BCC0A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115D6311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2946405"/>
    <w:multiLevelType w:val="hybridMultilevel"/>
    <w:tmpl w:val="3038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56E51CD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7526B82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E0024D5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046DA3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42856A2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5B976BD"/>
    <w:multiLevelType w:val="hybridMultilevel"/>
    <w:tmpl w:val="811818DA"/>
    <w:lvl w:ilvl="0" w:tplc="A9A48EE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7576E43"/>
    <w:multiLevelType w:val="hybridMultilevel"/>
    <w:tmpl w:val="AF12E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90F4EE1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A6E0120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986A0B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3C1250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E85A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39EC4C08"/>
    <w:multiLevelType w:val="hybridMultilevel"/>
    <w:tmpl w:val="C49E84A6"/>
    <w:lvl w:ilvl="0" w:tplc="6144FC46">
      <w:start w:val="1"/>
      <w:numFmt w:val="decimal"/>
      <w:lvlText w:val="%1."/>
      <w:lvlJc w:val="left"/>
      <w:pPr>
        <w:ind w:left="2136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5">
    <w:nsid w:val="3A2F4C0C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C2468DD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CD4538F"/>
    <w:multiLevelType w:val="hybridMultilevel"/>
    <w:tmpl w:val="C5248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E27299E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1B925F5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3B403DE"/>
    <w:multiLevelType w:val="hybridMultilevel"/>
    <w:tmpl w:val="2ED4C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88969A"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66F41B0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8C85C54"/>
    <w:multiLevelType w:val="hybridMultilevel"/>
    <w:tmpl w:val="A0E27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E5265D8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1E62B84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5821955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8AE5558"/>
    <w:multiLevelType w:val="hybridMultilevel"/>
    <w:tmpl w:val="3038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9177D96"/>
    <w:multiLevelType w:val="hybridMultilevel"/>
    <w:tmpl w:val="79C01D94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93F192B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E93698E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3451C49"/>
    <w:multiLevelType w:val="hybridMultilevel"/>
    <w:tmpl w:val="8BC22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69B0958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7E91233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D856158"/>
    <w:multiLevelType w:val="hybridMultilevel"/>
    <w:tmpl w:val="2ED4C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88969A"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EEC2DE3"/>
    <w:multiLevelType w:val="hybridMultilevel"/>
    <w:tmpl w:val="F6304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EF86623"/>
    <w:multiLevelType w:val="hybridMultilevel"/>
    <w:tmpl w:val="23DC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0941B44"/>
    <w:multiLevelType w:val="hybridMultilevel"/>
    <w:tmpl w:val="13D65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2C964CF"/>
    <w:multiLevelType w:val="hybridMultilevel"/>
    <w:tmpl w:val="E30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A0F71AB"/>
    <w:multiLevelType w:val="multilevel"/>
    <w:tmpl w:val="7BB4142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2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"/>
  </w:num>
  <w:num w:numId="12">
    <w:abstractNumId w:val="3"/>
  </w:num>
  <w:num w:numId="13">
    <w:abstractNumId w:val="12"/>
  </w:num>
  <w:num w:numId="14">
    <w:abstractNumId w:val="46"/>
  </w:num>
  <w:num w:numId="15">
    <w:abstractNumId w:val="44"/>
  </w:num>
  <w:num w:numId="16">
    <w:abstractNumId w:val="5"/>
  </w:num>
  <w:num w:numId="17">
    <w:abstractNumId w:val="7"/>
  </w:num>
  <w:num w:numId="18">
    <w:abstractNumId w:val="4"/>
  </w:num>
  <w:num w:numId="19">
    <w:abstractNumId w:val="25"/>
  </w:num>
  <w:num w:numId="20">
    <w:abstractNumId w:val="28"/>
  </w:num>
  <w:num w:numId="21">
    <w:abstractNumId w:val="8"/>
  </w:num>
  <w:num w:numId="22">
    <w:abstractNumId w:val="1"/>
  </w:num>
  <w:num w:numId="23">
    <w:abstractNumId w:val="19"/>
  </w:num>
  <w:num w:numId="24">
    <w:abstractNumId w:val="26"/>
  </w:num>
  <w:num w:numId="25">
    <w:abstractNumId w:val="36"/>
  </w:num>
  <w:num w:numId="26">
    <w:abstractNumId w:val="29"/>
  </w:num>
  <w:num w:numId="27">
    <w:abstractNumId w:val="15"/>
  </w:num>
  <w:num w:numId="28">
    <w:abstractNumId w:val="41"/>
  </w:num>
  <w:num w:numId="29">
    <w:abstractNumId w:val="10"/>
  </w:num>
  <w:num w:numId="30">
    <w:abstractNumId w:val="16"/>
  </w:num>
  <w:num w:numId="31">
    <w:abstractNumId w:val="34"/>
  </w:num>
  <w:num w:numId="32">
    <w:abstractNumId w:val="11"/>
  </w:num>
  <w:num w:numId="33">
    <w:abstractNumId w:val="22"/>
  </w:num>
  <w:num w:numId="34">
    <w:abstractNumId w:val="47"/>
  </w:num>
  <w:num w:numId="35">
    <w:abstractNumId w:val="33"/>
  </w:num>
  <w:num w:numId="36">
    <w:abstractNumId w:val="43"/>
  </w:num>
  <w:num w:numId="37">
    <w:abstractNumId w:val="0"/>
  </w:num>
  <w:num w:numId="38">
    <w:abstractNumId w:val="21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39"/>
  </w:num>
  <w:num w:numId="42">
    <w:abstractNumId w:val="20"/>
  </w:num>
  <w:num w:numId="43">
    <w:abstractNumId w:val="38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23"/>
  </w:num>
  <w:num w:numId="47">
    <w:abstractNumId w:val="17"/>
  </w:num>
  <w:num w:numId="48">
    <w:abstractNumId w:val="37"/>
  </w:num>
  <w:num w:numId="49">
    <w:abstractNumId w:val="6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A92"/>
    <w:rsid w:val="00002BBE"/>
    <w:rsid w:val="000155E7"/>
    <w:rsid w:val="00020B39"/>
    <w:rsid w:val="00046E9D"/>
    <w:rsid w:val="000723DF"/>
    <w:rsid w:val="00081C13"/>
    <w:rsid w:val="000905FB"/>
    <w:rsid w:val="00094F30"/>
    <w:rsid w:val="000C7397"/>
    <w:rsid w:val="000D4AF9"/>
    <w:rsid w:val="000D7BE4"/>
    <w:rsid w:val="001153B0"/>
    <w:rsid w:val="001169B7"/>
    <w:rsid w:val="00124DA1"/>
    <w:rsid w:val="00134847"/>
    <w:rsid w:val="001852BF"/>
    <w:rsid w:val="00194B0F"/>
    <w:rsid w:val="001962C2"/>
    <w:rsid w:val="002135EF"/>
    <w:rsid w:val="00232BB4"/>
    <w:rsid w:val="00255825"/>
    <w:rsid w:val="0026236E"/>
    <w:rsid w:val="002705C0"/>
    <w:rsid w:val="00272B12"/>
    <w:rsid w:val="002B29FC"/>
    <w:rsid w:val="003365B2"/>
    <w:rsid w:val="0037391F"/>
    <w:rsid w:val="003A2956"/>
    <w:rsid w:val="003C6C52"/>
    <w:rsid w:val="0041773A"/>
    <w:rsid w:val="0043492B"/>
    <w:rsid w:val="004A462C"/>
    <w:rsid w:val="004B142E"/>
    <w:rsid w:val="004B382E"/>
    <w:rsid w:val="00500B9E"/>
    <w:rsid w:val="005640BE"/>
    <w:rsid w:val="00564A92"/>
    <w:rsid w:val="0057443B"/>
    <w:rsid w:val="00581061"/>
    <w:rsid w:val="005865FA"/>
    <w:rsid w:val="005B059B"/>
    <w:rsid w:val="005B112F"/>
    <w:rsid w:val="005C4359"/>
    <w:rsid w:val="005E2079"/>
    <w:rsid w:val="006039FF"/>
    <w:rsid w:val="00656932"/>
    <w:rsid w:val="00697874"/>
    <w:rsid w:val="006D4BE9"/>
    <w:rsid w:val="006E4582"/>
    <w:rsid w:val="00740C13"/>
    <w:rsid w:val="0074589D"/>
    <w:rsid w:val="007742B6"/>
    <w:rsid w:val="00793FC0"/>
    <w:rsid w:val="00814B16"/>
    <w:rsid w:val="0082460D"/>
    <w:rsid w:val="00835908"/>
    <w:rsid w:val="00835DBE"/>
    <w:rsid w:val="00936F58"/>
    <w:rsid w:val="00981C2B"/>
    <w:rsid w:val="00984FBC"/>
    <w:rsid w:val="009F6F57"/>
    <w:rsid w:val="00A763C4"/>
    <w:rsid w:val="00AD1B55"/>
    <w:rsid w:val="00AF1082"/>
    <w:rsid w:val="00AF4F75"/>
    <w:rsid w:val="00B43668"/>
    <w:rsid w:val="00B62BC6"/>
    <w:rsid w:val="00BD4366"/>
    <w:rsid w:val="00BE50C0"/>
    <w:rsid w:val="00C0504A"/>
    <w:rsid w:val="00C125B2"/>
    <w:rsid w:val="00C722CB"/>
    <w:rsid w:val="00C8735E"/>
    <w:rsid w:val="00CD341C"/>
    <w:rsid w:val="00CE31A1"/>
    <w:rsid w:val="00D127EA"/>
    <w:rsid w:val="00D7004E"/>
    <w:rsid w:val="00D700A0"/>
    <w:rsid w:val="00D84295"/>
    <w:rsid w:val="00E00B52"/>
    <w:rsid w:val="00E4048E"/>
    <w:rsid w:val="00E54601"/>
    <w:rsid w:val="00E80C5A"/>
    <w:rsid w:val="00EC2347"/>
    <w:rsid w:val="00F468DB"/>
    <w:rsid w:val="00F529CA"/>
    <w:rsid w:val="00F81E85"/>
    <w:rsid w:val="00F9744B"/>
    <w:rsid w:val="00FD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92"/>
    <w:rPr>
      <w:rFonts w:ascii="Times New Roman" w:eastAsia="Times New Roman" w:hAnsi="Times New Roman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1773A"/>
    <w:pPr>
      <w:keepNext/>
      <w:tabs>
        <w:tab w:val="left" w:pos="851"/>
      </w:tabs>
      <w:jc w:val="center"/>
      <w:outlineLvl w:val="7"/>
    </w:pPr>
    <w:rPr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773A"/>
    <w:pPr>
      <w:keepNext/>
      <w:tabs>
        <w:tab w:val="left" w:pos="851"/>
      </w:tabs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41773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1773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564A92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64A92"/>
    <w:pPr>
      <w:widowControl w:val="0"/>
      <w:autoSpaceDE w:val="0"/>
      <w:autoSpaceDN w:val="0"/>
      <w:adjustRightInd w:val="0"/>
    </w:pPr>
    <w:rPr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4A92"/>
    <w:rPr>
      <w:rFonts w:ascii="Times New Roman" w:hAnsi="Times New Roman" w:cs="Times New Roman"/>
      <w:sz w:val="20"/>
      <w:szCs w:val="20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564A92"/>
    <w:pPr>
      <w:ind w:firstLine="567"/>
      <w:jc w:val="both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64A92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41773A"/>
    <w:pPr>
      <w:jc w:val="center"/>
    </w:pPr>
    <w:rPr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1773A"/>
    <w:rPr>
      <w:rFonts w:ascii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5640BE"/>
    <w:rPr>
      <w:rFonts w:ascii="Courier New" w:hAnsi="Courier New"/>
      <w:lang w:eastAsia="uk-U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640BE"/>
    <w:rPr>
      <w:rFonts w:ascii="Courier New" w:hAnsi="Courier New" w:cs="Times New Roman"/>
      <w:sz w:val="20"/>
      <w:szCs w:val="20"/>
      <w:lang w:eastAsia="uk-UA"/>
    </w:rPr>
  </w:style>
  <w:style w:type="paragraph" w:styleId="ListParagraph">
    <w:name w:val="List Paragraph"/>
    <w:basedOn w:val="Normal"/>
    <w:uiPriority w:val="99"/>
    <w:qFormat/>
    <w:rsid w:val="00094F3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35DBE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35DB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Осн. текст"/>
    <w:basedOn w:val="Normal"/>
    <w:uiPriority w:val="99"/>
    <w:rsid w:val="00255825"/>
    <w:pPr>
      <w:spacing w:line="288" w:lineRule="auto"/>
      <w:ind w:firstLine="454"/>
      <w:jc w:val="both"/>
    </w:pPr>
    <w:rPr>
      <w:rFonts w:ascii="TextBook" w:hAnsi="TextBook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69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</TotalTime>
  <Pages>2</Pages>
  <Words>1664</Words>
  <Characters>950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Customer</cp:lastModifiedBy>
  <cp:revision>64</cp:revision>
  <dcterms:created xsi:type="dcterms:W3CDTF">2016-09-27T11:28:00Z</dcterms:created>
  <dcterms:modified xsi:type="dcterms:W3CDTF">2018-09-30T12:44:00Z</dcterms:modified>
</cp:coreProperties>
</file>