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(Ф 03.02 – 101)</w:t>
      </w: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Національний авіаційний університет</w:t>
      </w: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Навчально-науковий інститут неперервної освіти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ЗАТВЕРДЖУЮ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Проректор з навчальної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виховної роботи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___________Т.В. Іванова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82.3pt;margin-top:20.1pt;width:86.45pt;height:90pt;z-index:251659264" wrapcoords="-188 0 -188 21420 21600 21420 21600 0 -188 0" fillcolor="window">
            <v:imagedata r:id="rId8" o:title=""/>
            <w10:wrap type="through"/>
          </v:shape>
          <o:OLEObject Type="Embed" ProgID="Word.Picture.8" ShapeID="_x0000_s1028" DrawAspect="Content" ObjectID="_1603369004" r:id="rId9"/>
        </w:pic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«___»____________201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Система менеджменту якості</w:t>
      </w: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РОБОЧА ПРОГРАМА</w:t>
      </w: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навчальної дисципліни</w:t>
      </w: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«Актуальні питання функціонування транспортної системи ЄС»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Галузь знань:        08 Право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Спеціальність:      081 Право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Спеціалізація:       «Правознавство»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Курс – 1, 2    Семестр – 2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Лекції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 xml:space="preserve">        -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(4, 4)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Екзамен – 3 семестр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Практичні заняття         -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(-, 8)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Самостійна робота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- 104 (26; 78)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Усього (годин/кредитів ECTS)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- 120/4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Курсова робота (1) – 3 семестр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Індекс:  РМ-12-081/17-3.3.8.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СМЯ НАУ РП ННІНО 09.01.02-01-2018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 w:type="page"/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Робочу програму навчальної дисципліни «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Актуальні питання функціонування транспортної системи ЄС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розроблено на основі робочого навчального плану №РМ-12-081/17 підготовки фахівців освітнього ступеня «Магістр» за спеціальністю 081 «Право» спеціалізацією «Правознавство», робочої програми цієї дисципліни денної форми навчання індекс РМ-9-081/18-3.3.8, затвердженої «20» вересня 2017 р. та відповідних нормативних документів.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Робочу програму розробив: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професор кафедри господарського,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повітряного та космічного права, д.ю.н._______________________ </w:t>
      </w:r>
      <w:r w:rsidRPr="00EF72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/Д.О. Беззубов/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Робочу програму обговорено та схвалено на засіданні кафедри господарського, повітряного та космічного права,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протокол №___ від «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___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____________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2018 р.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Завідувач кафедри ________________________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/</w:t>
      </w:r>
      <w:r w:rsidRPr="00EF729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ru-RU"/>
        </w:rPr>
        <w:t>С.О. Юлдашев/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Робочу  програму обговорено та схвалено на засіданні науково-методично-редакційної ради ННІНО, протокол №___ від «___» __________ 2018 р.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Голова НМРР 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ab/>
        <w:t>__________________</w:t>
      </w:r>
      <w:r w:rsidRPr="00EF729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/</w:t>
      </w:r>
      <w:r w:rsidRPr="00EF729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ru-RU"/>
        </w:rPr>
        <w:t>Муранова Н.П.</w:t>
      </w:r>
      <w:r w:rsidRPr="00EF72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/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УЗГОДЖЕНО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Директор ННІНО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_______________/</w:t>
      </w:r>
      <w:r w:rsidRPr="00EF72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Муранова Н.П.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/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«___» __________2018 р.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Рівень документа – 3б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Плановий термін між ревізіями – 1 рік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Врахований примірник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 w:type="page"/>
      </w:r>
      <w:r w:rsidRPr="00EF7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ЗМІСТ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сторінка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Вступ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 Зміст навчальної дисципліни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1.1  Структура навчальної дисципліни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тематичний план)..…..….…..…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4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1.2. 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Лекційні заняття, їх тематик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 і обсяг ……………………………......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5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1.3. П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рактичні заняття, їх тем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атика і обсяг………………………….…….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5  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1.4. 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Самостійна (індивідуальна) робота студента, її зміст та обсяг</w:t>
      </w:r>
      <w:r w:rsidRPr="00EF7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…….</w:t>
      </w:r>
      <w:r w:rsidRPr="00EF72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6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 Навчально-методичні матеріали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дисципліни ……………………...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Методи навчання……………………………………………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…............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14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2.2. Рекомендована література (базова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допоміжна) …………............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15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2.3.  Інформаційні ресурси в інтернеті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……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………………….…..........    15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  Рейтингова система оцінювання набутих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тудентом знань та вмінь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15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3.1. Методи контролю та схема нарахув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ання балів ………….….……...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15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Форми докум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ентів. Системи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менеджменту якості ……………………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20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F7292" w:rsidRPr="00EF7292" w:rsidRDefault="00EF7292" w:rsidP="00EF7292">
      <w:pPr>
        <w:spacing w:after="0" w:line="240" w:lineRule="auto"/>
        <w:ind w:right="-6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 w:type="page"/>
      </w: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В</w:t>
      </w:r>
      <w:bookmarkStart w:id="0" w:name="_GoBack"/>
      <w:bookmarkEnd w:id="0"/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СТУП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Робоча програма (РП) навчальної дисципліни розробляється на основі  «Методичних рекомендацій до розроблення та оформлення робочої  програми навчальної дисципліни», затверджених розпорядженням № 106/роз, від «_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13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_» _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липень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__2017 р. та відповідних нормативних документів.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Місце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даної дисципліни в системі професійної підготовки фахівця. Дана дисципліна направлена на формування комплексного розуміння системи взаємозв’язків в сфері організації та безпосереднього здійснення господарсько-договірної роботи.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Метою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викладення  навчальної дисципліни є формування у студентів системи правових знань та навичків щодо вироблення методики укладання «надійного» договору, сприяння розвитку у студентів навичок правового аналізу щодо конкретних господарських ситуацій, вміння орієнтуватися в господарському законодавстві та вірно застосовувати його в процесі вирішення конкретних питань, а також для поглиблення розуміння змісту найважливіших господарсько-правових актів в сфері господарських договорів. Це є невід’ємною частиною професійної підготовки студентів господарсько-правової спеціалізації.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Завдання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вивчення навчальної дисципліни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вивчення структури договору та його основних умов;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дослідження порядку оформлення тексту договору;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з’ясування порядку виконання та змін і розірвання господарського договору;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виявлення способів забезпечення належного виконання господарських зобов’язань.   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Компетенції: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результаті вивчення даної навчальної дисципліни студент повинен знати: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нормативну основу договірного регулювання господарської діяльності;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модифікації письмової форми господарського договору;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матеріальну стадію виконання господарського договору; 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техніко-юридичну стадію виконання господарського договору;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засоби забезпечення виконання договорів;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особливості правового регулювання окремих господарських договорів;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вірно орієнтуватися в чинному законодавстві;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формувати умови та складати тексти окремих господарських договорів; 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володіти технологією застосування договірних норм;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розв’язувати спірні ситуації у випадку визнання договору недійсним чи неукладеним. </w:t>
      </w:r>
    </w:p>
    <w:p w:rsidR="00EF7292" w:rsidRPr="00EF7292" w:rsidRDefault="00EF7292" w:rsidP="00EF7292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Міждисциплінарні зв’язки.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Вивчення курсу «Актуальні питання функціонування транспортної системи ЄС» передбачає попереднє засвоєння знань з дисциплін «Транспортне право», «Господарське право» та </w:t>
      </w:r>
      <w:r w:rsidRPr="00EF72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«Господарський процес». На основі вивчення матеріалів даного курсу можливе продовження навчання за програмою доктор філософії в галузі права, спеціалізація «Господарське право».</w:t>
      </w:r>
    </w:p>
    <w:p w:rsidR="00834D0F" w:rsidRPr="00EF7292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EF7292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1.2. Програма навчальної дисципліни. </w:t>
      </w:r>
    </w:p>
    <w:p w:rsidR="00834D0F" w:rsidRPr="00EF7292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EF729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</w:t>
      </w:r>
      <w:r w:rsidR="007A3416" w:rsidRPr="00EF7292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>двох</w:t>
      </w:r>
      <w:r w:rsidRPr="00EF7292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</w:t>
      </w:r>
      <w:r w:rsidRPr="00EF729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навчальних  модулів, а саме:  </w:t>
      </w:r>
    </w:p>
    <w:p w:rsidR="00834D0F" w:rsidRPr="00EF7292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yellow"/>
          <w:lang w:val="uk-UA" w:eastAsia="ru-RU"/>
        </w:rPr>
      </w:pPr>
    </w:p>
    <w:p w:rsidR="00B84C83" w:rsidRPr="00B84C83" w:rsidRDefault="00834D0F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7292">
        <w:rPr>
          <w:rFonts w:ascii="Times New Roman" w:hAnsi="Times New Roman"/>
          <w:b/>
          <w:iCs/>
          <w:sz w:val="28"/>
          <w:szCs w:val="28"/>
          <w:lang w:val="uk-UA"/>
        </w:rPr>
        <w:t xml:space="preserve">Модуль 1. </w:t>
      </w:r>
      <w:r w:rsidR="007A3416" w:rsidRPr="00EF7292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84C83" w:rsidRPr="00EF7292">
        <w:rPr>
          <w:rFonts w:ascii="Times New Roman" w:hAnsi="Times New Roman"/>
          <w:b/>
          <w:iCs/>
          <w:sz w:val="28"/>
          <w:szCs w:val="28"/>
          <w:lang w:val="uk-UA"/>
        </w:rPr>
        <w:t>Загальні положення</w:t>
      </w:r>
      <w:r w:rsidR="00B84C83"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E7631B">
        <w:rPr>
          <w:rFonts w:ascii="Times New Roman" w:hAnsi="Times New Roman"/>
          <w:b/>
          <w:iCs/>
          <w:sz w:val="28"/>
          <w:szCs w:val="28"/>
          <w:lang w:val="uk-UA"/>
        </w:rPr>
        <w:t xml:space="preserve">та </w:t>
      </w:r>
      <w:r w:rsidR="00B84C83" w:rsidRPr="00B84C83">
        <w:rPr>
          <w:rFonts w:ascii="Times New Roman" w:hAnsi="Times New Roman"/>
          <w:b/>
          <w:sz w:val="28"/>
          <w:szCs w:val="28"/>
          <w:lang w:val="uk-UA"/>
        </w:rPr>
        <w:t xml:space="preserve">регулювання використання морського, залізничного, автомобільного транспорту в рамках ЄС </w:t>
      </w:r>
    </w:p>
    <w:p w:rsidR="00B84C83" w:rsidRDefault="00B84C83" w:rsidP="00B84C83">
      <w:pPr>
        <w:spacing w:after="0" w:line="360" w:lineRule="auto"/>
        <w:ind w:firstLine="567"/>
        <w:jc w:val="both"/>
        <w:rPr>
          <w:b/>
          <w:bCs/>
          <w:lang w:val="uk-UA"/>
        </w:rPr>
      </w:pPr>
    </w:p>
    <w:p w:rsidR="00B84C83" w:rsidRDefault="007A3416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b/>
          <w:sz w:val="28"/>
          <w:szCs w:val="28"/>
          <w:lang w:val="uk-UA"/>
        </w:rPr>
        <w:t xml:space="preserve">Тема 1. </w:t>
      </w:r>
      <w:r w:rsidR="001F0B9E" w:rsidRPr="00B84C83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84C83" w:rsidRPr="00B84C83">
        <w:rPr>
          <w:rFonts w:ascii="Times New Roman" w:hAnsi="Times New Roman"/>
          <w:b/>
          <w:sz w:val="28"/>
          <w:szCs w:val="28"/>
        </w:rPr>
        <w:t xml:space="preserve">Вступ </w:t>
      </w:r>
      <w:r w:rsidR="00B84C83" w:rsidRPr="00B84C83">
        <w:rPr>
          <w:rFonts w:ascii="Times New Roman" w:hAnsi="Times New Roman"/>
          <w:b/>
          <w:sz w:val="28"/>
          <w:szCs w:val="28"/>
          <w:lang w:val="uk-UA"/>
        </w:rPr>
        <w:t>до транспо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>ртного права Європейського Союз</w:t>
      </w:r>
      <w:r w:rsidR="00711DA5">
        <w:rPr>
          <w:rFonts w:ascii="Times New Roman" w:hAnsi="Times New Roman"/>
          <w:b/>
          <w:sz w:val="28"/>
          <w:szCs w:val="28"/>
          <w:lang w:val="uk-UA"/>
        </w:rPr>
        <w:t>у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</w:rPr>
        <w:t>Поняття права Європейського Союзу та його правова природа. Характерні риси права Європейського Союзу як особливої правової системи. Відмінні та спільні риси в системі міжнародного права та права Європейського Союзу.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Історія виникнення Європейських Співтовариств та Європейського Союзу.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4C83">
        <w:rPr>
          <w:rFonts w:ascii="Times New Roman" w:hAnsi="Times New Roman"/>
          <w:sz w:val="28"/>
          <w:szCs w:val="28"/>
          <w:lang w:val="uk-UA"/>
        </w:rPr>
        <w:t>Система  джерел права Європейського Союзу: первинні та вторинні джерела. Директиви, регламенти, рішення. Система європейських інституцій. Повноваження європейських інституцій щодо прийняття законодавчих актів.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CB6" w:rsidRDefault="00F96CB6" w:rsidP="00F96CB6">
      <w:pPr>
        <w:pStyle w:val="af6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F96CB6">
        <w:rPr>
          <w:rFonts w:ascii="Times New Roman" w:hAnsi="Times New Roman"/>
          <w:b/>
          <w:sz w:val="28"/>
          <w:szCs w:val="28"/>
          <w:lang w:val="uk-UA"/>
        </w:rPr>
        <w:t xml:space="preserve">Тема 1.2. </w:t>
      </w:r>
      <w:r w:rsidR="00B84C83" w:rsidRPr="00F96CB6">
        <w:rPr>
          <w:rFonts w:ascii="Times New Roman" w:hAnsi="Times New Roman"/>
          <w:b/>
          <w:sz w:val="28"/>
          <w:szCs w:val="28"/>
        </w:rPr>
        <w:t xml:space="preserve">Поняття </w:t>
      </w:r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транспортного </w:t>
      </w:r>
      <w:r w:rsidR="00B84C83" w:rsidRPr="00F96CB6">
        <w:rPr>
          <w:rFonts w:ascii="Times New Roman" w:hAnsi="Times New Roman"/>
          <w:b/>
          <w:sz w:val="28"/>
          <w:szCs w:val="28"/>
        </w:rPr>
        <w:t>права Європейського Союзу</w:t>
      </w:r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 та зміст транспортної політики ЄС</w:t>
      </w:r>
      <w:r w:rsidR="00B84C83" w:rsidRPr="00F96CB6">
        <w:rPr>
          <w:rFonts w:ascii="Times New Roman" w:hAnsi="Times New Roman"/>
          <w:b/>
          <w:sz w:val="28"/>
          <w:szCs w:val="28"/>
        </w:rPr>
        <w:t>.</w:t>
      </w:r>
    </w:p>
    <w:p w:rsidR="00B84C83" w:rsidRPr="00F96CB6" w:rsidRDefault="00B84C83" w:rsidP="00F96CB6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</w:rPr>
        <w:t xml:space="preserve">Поняття транспортного права ЄС. Визначення транспортного права ЄС. </w:t>
      </w:r>
    </w:p>
    <w:p w:rsidR="00F96CB6" w:rsidRDefault="00B84C83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Поняття та організаційно-правові засади “спільних політик ЄС”. Поняття та зміст транспортної політики Європейського Союзу. “Біла книга” щодо транспортної політики Європейського Союзу. Спеціальні програми співробітництва держав-членів в галузі транспорту.</w:t>
      </w:r>
    </w:p>
    <w:p w:rsidR="00B84C83" w:rsidRPr="00B84C83" w:rsidRDefault="00B84C83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Основні напрями та порядок діяльності європейських інституцій в галузі транспорту: Європейська Комісія (транспортна політика, субсидії, кредитування), Європейський Парламент (Комісія з питань транспорту та туризму), Рада ЄС (транспорт, телекомунікації та енергетика), Європейський медіатор, Європейський інвестиційний банк, Європейська комісія з морської безпеки.</w:t>
      </w:r>
    </w:p>
    <w:p w:rsidR="00B84C83" w:rsidRDefault="00B84C83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Проблеми та перешкоди на шляху розвитку транспортної політики та спільної транспортної інфраструктури ЄС.</w:t>
      </w:r>
      <w:r w:rsidR="00F96CB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4C83">
        <w:rPr>
          <w:rFonts w:ascii="Times New Roman" w:hAnsi="Times New Roman"/>
          <w:sz w:val="28"/>
          <w:szCs w:val="28"/>
          <w:lang w:val="uk-UA"/>
        </w:rPr>
        <w:t>Проблеми використання змішаного транспорту в рамках держав-членів ЄС. Розвиток єдиної трансєвропейської транспортної системи (сітки). Супутниковий зв</w:t>
      </w:r>
      <w:r w:rsidRPr="00B84C83">
        <w:rPr>
          <w:rFonts w:ascii="Times New Roman" w:hAnsi="Times New Roman"/>
          <w:sz w:val="28"/>
          <w:szCs w:val="28"/>
        </w:rPr>
        <w:t>’</w:t>
      </w:r>
      <w:r w:rsidRPr="00B84C83">
        <w:rPr>
          <w:rFonts w:ascii="Times New Roman" w:hAnsi="Times New Roman"/>
          <w:sz w:val="28"/>
          <w:szCs w:val="28"/>
          <w:lang w:val="uk-UA"/>
        </w:rPr>
        <w:t>язок та управління транспортом.  Конкуренція в транспортній галузі.</w:t>
      </w:r>
    </w:p>
    <w:p w:rsidR="00F96CB6" w:rsidRDefault="00F96CB6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CB6" w:rsidRPr="00F96CB6" w:rsidRDefault="00F96CB6" w:rsidP="00F96CB6">
      <w:pPr>
        <w:pStyle w:val="af6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 w:rsidRPr="00F96CB6">
        <w:rPr>
          <w:rFonts w:ascii="Times New Roman" w:hAnsi="Times New Roman"/>
          <w:b/>
          <w:sz w:val="28"/>
          <w:szCs w:val="28"/>
          <w:lang w:val="uk-UA"/>
        </w:rPr>
        <w:t xml:space="preserve"> Тема 1.3. Організаційно-правові засади спільної діяльності держав-членів ЄС у галузі повітряного транспорту.</w:t>
      </w:r>
    </w:p>
    <w:p w:rsidR="00F96CB6" w:rsidRDefault="00F96CB6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6CB6">
        <w:rPr>
          <w:rFonts w:ascii="Times New Roman" w:hAnsi="Times New Roman"/>
          <w:sz w:val="28"/>
          <w:szCs w:val="28"/>
          <w:lang w:val="uk-UA"/>
        </w:rPr>
        <w:lastRenderedPageBreak/>
        <w:t>Загальні питання в галузі повітряного транспорту ( страхування повітряних перевізників та експлуатантів повітряних суден; захист прав пасажирів; Кодекс поведінки користувачів інформатизованих систем резервування; системи компенсації у випадку відмови прийняття на борт; ліцензування (сертифікація) персоналу в цивільній авіації; гармонізація правил та процедур в цивільній авіації; надання ліцензій повітряним перевізникам; доступ повітряних перевізників до повітряного сполучення між державами-членами ЄС (третя фаза); тарифи та розцінки повітряних послуг (третя фаза); формування розкладу руху повітряного транспорту; допомога при висадці у аеропортах Співтовариства; захист навколишнього середовища; регулювання шуму в аеропортах Співтовариства;  угоди щодо повітряних послуг між державами-членами та третіми державами; Монреальська конвенція щодо відповідальності повітряних перевізників; права фізичних осіб з обмеженими можливостями руху.)</w:t>
      </w:r>
    </w:p>
    <w:p w:rsidR="00472534" w:rsidRDefault="00472534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sz w:val="28"/>
          <w:szCs w:val="28"/>
          <w:lang w:val="uk-UA"/>
        </w:rPr>
        <w:t>Тема 1.4. Організа</w:t>
      </w:r>
      <w:r w:rsidRPr="00472534">
        <w:rPr>
          <w:rFonts w:ascii="Times New Roman" w:hAnsi="Times New Roman"/>
          <w:b/>
          <w:sz w:val="28"/>
          <w:szCs w:val="28"/>
        </w:rPr>
        <w:t xml:space="preserve">ційно-правові засади спільної діяльності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держав-членів ЄС </w:t>
      </w:r>
      <w:r w:rsidRPr="00472534">
        <w:rPr>
          <w:rFonts w:ascii="Times New Roman" w:hAnsi="Times New Roman"/>
          <w:b/>
          <w:sz w:val="28"/>
          <w:szCs w:val="28"/>
        </w:rPr>
        <w:t>у галузі морського транспорту.</w:t>
      </w:r>
    </w:p>
    <w:p w:rsidR="00472534" w:rsidRP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sz w:val="28"/>
          <w:szCs w:val="28"/>
        </w:rPr>
        <w:t>Загальні питання (лібералізація обслуговування у морських портах; конкуренція в сфері надання транспортних послуг та доступ до трансокеанічного сполучення;  вільне надання послуг в межах держав-членів (морський каботаж); субсидії та допомога у будівництві морських суден; формальності при вході та виході морських суден з портів Співтовариства; графіки роботи працівників, зайнятих на морському транспорті; начання та найм робітників морського транспорту; стратегія зменшення викидів морських суден; програми просування на ринок транспортних послуг морські перевезення на короткі дистанції; організація робочого часу на борту морських суден, що здійснюють висадку у портах Співтовариства; ратифікація Конвенції про робочий час працівників морського транспорту).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472534">
        <w:rPr>
          <w:rFonts w:ascii="Times New Roman" w:hAnsi="Times New Roman"/>
          <w:sz w:val="28"/>
          <w:szCs w:val="28"/>
        </w:rPr>
        <w:t>Питання безпеки у галузі морського транспорту ( Комітет морської безпеки; попередження шкідливих викидів морського транспорту; Міжнародний кодекс управління безпекою морських суден; програми Еріка 1, Еріка 2; правила та норми безпеки при морському перевезенні пасажирів; системи супутникового спостереження за морськими суднами);</w:t>
      </w:r>
    </w:p>
    <w:p w:rsidR="00472534" w:rsidRPr="00472534" w:rsidRDefault="00472534" w:rsidP="00472534">
      <w:pPr>
        <w:pStyle w:val="af6"/>
        <w:rPr>
          <w:rFonts w:ascii="Times New Roman" w:hAnsi="Times New Roman"/>
          <w:sz w:val="28"/>
          <w:szCs w:val="28"/>
          <w:lang w:val="uk-UA"/>
        </w:rPr>
      </w:pPr>
    </w:p>
    <w:p w:rsidR="00F96CB6" w:rsidRPr="00472534" w:rsidRDefault="00F96CB6" w:rsidP="00472534">
      <w:pPr>
        <w:pStyle w:val="af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Тема 1.5. </w:t>
      </w:r>
      <w:r w:rsidRPr="00472534">
        <w:rPr>
          <w:rFonts w:ascii="Times New Roman" w:hAnsi="Times New Roman"/>
          <w:b/>
          <w:sz w:val="28"/>
          <w:szCs w:val="28"/>
        </w:rPr>
        <w:t xml:space="preserve">Організаційно-правові засади спільної діяльності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держав-членів ЄС </w:t>
      </w:r>
      <w:r w:rsidRPr="00472534">
        <w:rPr>
          <w:rFonts w:ascii="Times New Roman" w:hAnsi="Times New Roman"/>
          <w:b/>
          <w:sz w:val="28"/>
          <w:szCs w:val="28"/>
        </w:rPr>
        <w:t xml:space="preserve">у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галузі залізничного </w:t>
      </w:r>
      <w:r w:rsidRPr="00472534">
        <w:rPr>
          <w:rFonts w:ascii="Times New Roman" w:hAnsi="Times New Roman"/>
          <w:b/>
          <w:sz w:val="28"/>
          <w:szCs w:val="28"/>
        </w:rPr>
        <w:t>транспорту.</w:t>
      </w:r>
    </w:p>
    <w:p w:rsidR="00472534" w:rsidRP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sz w:val="28"/>
          <w:szCs w:val="28"/>
          <w:lang w:val="uk-UA"/>
        </w:rPr>
        <w:t>Загальні питання (розподіл можливостей інфраструктури залізничного транспорту; Біла книга : стратегія реабілітації залізниці Співтовариства).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472534">
        <w:rPr>
          <w:rFonts w:ascii="Times New Roman" w:hAnsi="Times New Roman"/>
          <w:sz w:val="28"/>
          <w:szCs w:val="28"/>
        </w:rPr>
        <w:t>Безпеки залізничного транспорту (безпека залізничних шляхів; перевезення небезпечних вантажів залізничним транспортом).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472534">
        <w:rPr>
          <w:rFonts w:ascii="Times New Roman" w:hAnsi="Times New Roman"/>
          <w:sz w:val="28"/>
          <w:szCs w:val="28"/>
        </w:rPr>
        <w:lastRenderedPageBreak/>
        <w:t>Залізничний європейський простір ( Європейська агенція залізничного транспорту; ліцензування підприємств залізничного транспорту; Організація міжнародних залізничних перевезень; права та обов’язки пасажирів, що викристовують міжнародні залізничні шляхи; сертифікація персоналу, що забезпечує рух локомотивів та поїздів; компенсація у випадку порушення вимог якості послуг залізничного транспорту).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472534">
        <w:t xml:space="preserve"> 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Тема 1.6.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Організаційно-правові засади спільної діяльності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держав-членів ЄС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у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галузі автомобільного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транспорту.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Перевезення товарів (перевезення між державами-членами; європейський механізм нагляду; наземний каботаж; оподаткування важких вантажів : директива “</w:t>
      </w:r>
      <w:r w:rsidRPr="00472534">
        <w:rPr>
          <w:rFonts w:ascii="Times New Roman" w:hAnsi="Times New Roman"/>
          <w:color w:val="000000"/>
          <w:sz w:val="28"/>
          <w:szCs w:val="28"/>
          <w:lang w:val="fr-FR"/>
        </w:rPr>
        <w:t>Eurovignette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”; обмеження руху важких вантажів; розподіл руху важких вантажів у Швейцарії.)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Перевезення пасажирів ( міжнародні перевезення автобусами та автокарами; іноземні перевізники на національних ринках: умови доступу; Угода </w:t>
      </w:r>
      <w:r w:rsidRPr="00472534">
        <w:rPr>
          <w:rFonts w:ascii="Times New Roman" w:hAnsi="Times New Roman"/>
          <w:color w:val="000000"/>
          <w:sz w:val="28"/>
          <w:szCs w:val="28"/>
          <w:lang w:val="fr-FR"/>
        </w:rPr>
        <w:t>Interbus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.)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Загальні питання ( доступ до автомобільних перевезень та взаємне визнення дипломів; організація робочого часу на автомобільному транспорті; соціальні регламенти; атестація водіїв).</w:t>
      </w:r>
    </w:p>
    <w:p w:rsidR="002A138F" w:rsidRDefault="00472534" w:rsidP="00E7631B">
      <w:pPr>
        <w:pStyle w:val="af6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Безпека дорожного транспорту ( перевезення небезпечних вантажів; програми дій в галузі автодорожної безпеки; посвідчення водія; максимальні дози алкоголю; максимальні розміри та вага автомобільного транспорту; технічний контроль транспортних засобів; технічний контроль важких вантажів; мінімальна безпека в тунелях; Програма дій автодорожної безпеки (20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15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-20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).) </w:t>
      </w:r>
    </w:p>
    <w:p w:rsidR="00E7631B" w:rsidRPr="00E7631B" w:rsidRDefault="00E7631B" w:rsidP="00E7631B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834D0F" w:rsidRPr="00834D0F" w:rsidRDefault="00834D0F" w:rsidP="001F0B9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Модуль </w:t>
      </w:r>
      <w:r w:rsidR="001F0B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Курсова робота</w:t>
      </w:r>
    </w:p>
    <w:p w:rsidR="00834D0F" w:rsidRPr="00834D0F" w:rsidRDefault="00834D0F" w:rsidP="00834D0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B9E" w:rsidRDefault="00834D0F" w:rsidP="001F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4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першому</w:t>
      </w: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семестрі студенти виконують курсову роботу (КР), в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ідповідно до затверджених в установленому порядку методичних рекомендацій, з метою закріпленя та поглиблення теоретичних та практичних знань та вмінь, набутих студентом у процесі засвоєння навчального матеріалу дисципліни </w:t>
      </w:r>
      <w:r w:rsidR="00E763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союзу.</w:t>
      </w:r>
    </w:p>
    <w:p w:rsidR="00E7631B" w:rsidRDefault="00834D0F" w:rsidP="00E76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успішного виконання КР студент повинен знати</w:t>
      </w:r>
      <w:r w:rsidR="001F0B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7631B" w:rsidRPr="00E7631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загальні положення </w:t>
      </w:r>
      <w:r w:rsidR="00E7631B" w:rsidRPr="00E7631B">
        <w:rPr>
          <w:rFonts w:ascii="Times New Roman" w:hAnsi="Times New Roman"/>
          <w:iCs/>
          <w:sz w:val="28"/>
          <w:szCs w:val="28"/>
          <w:lang w:val="uk-UA"/>
        </w:rPr>
        <w:t xml:space="preserve">та </w:t>
      </w:r>
      <w:r w:rsidR="00E7631B" w:rsidRPr="00E7631B">
        <w:rPr>
          <w:rFonts w:ascii="Times New Roman" w:hAnsi="Times New Roman" w:cs="Times New Roman"/>
          <w:sz w:val="28"/>
          <w:szCs w:val="28"/>
          <w:lang w:val="uk-UA"/>
        </w:rPr>
        <w:t>регулювання використання морського, залізничного, автомобільного транспорту в рамках ЄС</w:t>
      </w:r>
    </w:p>
    <w:p w:rsidR="00834D0F" w:rsidRPr="00834D0F" w:rsidRDefault="00834D0F" w:rsidP="00E76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Час, потрібний для виконання КР, - до 30 годин самостійної роботи.</w:t>
      </w:r>
    </w:p>
    <w:p w:rsidR="00834D0F" w:rsidRPr="00834D0F" w:rsidRDefault="00834D0F" w:rsidP="00834D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2. ЗМІСТ НАВЧАЛЬНОЇ ДИСЦИПЛІНИ</w:t>
      </w: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2.1. Структура навчальної 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дисципліни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A179D6">
      <w:pP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2.1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"/>
        <w:gridCol w:w="4383"/>
        <w:gridCol w:w="993"/>
        <w:gridCol w:w="992"/>
        <w:gridCol w:w="1372"/>
        <w:gridCol w:w="1080"/>
      </w:tblGrid>
      <w:tr w:rsidR="00834D0F" w:rsidRPr="00834D0F" w:rsidTr="002A138F">
        <w:trPr>
          <w:cantSplit/>
          <w:trHeight w:val="308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п.п</w:t>
            </w:r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592110" w:rsidRPr="00834D0F" w:rsidTr="00F05B1A">
        <w:trPr>
          <w:cantSplit/>
          <w:trHeight w:val="485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Практич./заняття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 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E7631B" w:rsidRDefault="00834D0F" w:rsidP="001F0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76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 w:rsidR="00E7631B" w:rsidRPr="00E763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Загальні положення </w:t>
            </w:r>
            <w:r w:rsidR="00E7631B" w:rsidRPr="00E7631B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та </w:t>
            </w:r>
            <w:r w:rsidR="00E7631B" w:rsidRPr="00E763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регулювання використання морського, залізничного, автомобільного транспорту в рамках ЄС</w:t>
            </w:r>
            <w:r w:rsidRPr="00E76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Вступ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F05B1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Поняття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права Європейського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 ЄС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59211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56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592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71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у галузі морського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DB5F5B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16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71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Організаційно-правові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DB5F5B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Pr="00834D0F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711DA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C6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="00C675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    «Курсова робота»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FA72D3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Усього за </w:t>
            </w:r>
            <w:r w:rsidR="00FA72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154C4B" w:rsidP="00592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154C4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154C4B" w:rsidP="00592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154C4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</w:tbl>
    <w:p w:rsidR="00C675DA" w:rsidRPr="00834D0F" w:rsidRDefault="00C675DA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40"/>
        <w:gridCol w:w="7297"/>
        <w:gridCol w:w="57"/>
        <w:gridCol w:w="890"/>
        <w:gridCol w:w="687"/>
      </w:tblGrid>
      <w:tr w:rsidR="00834D0F" w:rsidRPr="00834D0F" w:rsidTr="00DB5F5B">
        <w:trPr>
          <w:cantSplit/>
          <w:trHeight w:val="285"/>
        </w:trPr>
        <w:tc>
          <w:tcPr>
            <w:tcW w:w="334" w:type="pct"/>
            <w:vMerge w:val="restar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uk-UA" w:eastAsia="ru-RU"/>
              </w:rPr>
              <w:t>Назва теми</w:t>
            </w:r>
          </w:p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4" w:type="pct"/>
            <w:gridSpan w:val="3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Обсяг навч</w:t>
            </w: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занять (год)</w:t>
            </w:r>
          </w:p>
        </w:tc>
      </w:tr>
      <w:tr w:rsidR="00834D0F" w:rsidRPr="00834D0F" w:rsidTr="00A179D6">
        <w:trPr>
          <w:cantSplit/>
          <w:trHeight w:val="71"/>
        </w:trPr>
        <w:tc>
          <w:tcPr>
            <w:tcW w:w="334" w:type="pct"/>
            <w:vMerge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812" w:type="pct"/>
            <w:vMerge/>
            <w:vAlign w:val="center"/>
          </w:tcPr>
          <w:p w:rsidR="00834D0F" w:rsidRPr="00834D0F" w:rsidRDefault="00834D0F" w:rsidP="00834D0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4" w:hanging="864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Лекції</w:t>
            </w:r>
          </w:p>
        </w:tc>
        <w:tc>
          <w:tcPr>
            <w:tcW w:w="359" w:type="pc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СРС</w:t>
            </w:r>
          </w:p>
        </w:tc>
      </w:tr>
      <w:tr w:rsidR="00834D0F" w:rsidRPr="00834D0F" w:rsidTr="009315C4">
        <w:trPr>
          <w:trHeight w:val="384"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834D0F" w:rsidRPr="00834D0F" w:rsidRDefault="0035257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9315C4">
        <w:trPr>
          <w:cantSplit/>
          <w:trHeight w:val="400"/>
        </w:trPr>
        <w:tc>
          <w:tcPr>
            <w:tcW w:w="5000" w:type="pct"/>
            <w:gridSpan w:val="5"/>
            <w:vAlign w:val="center"/>
          </w:tcPr>
          <w:p w:rsidR="00834D0F" w:rsidRPr="00834D0F" w:rsidRDefault="009315C4" w:rsidP="00B34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B340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Договори в галузі повітряного та космічного права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179D6" w:rsidRPr="00834D0F" w:rsidTr="00A179D6">
        <w:tc>
          <w:tcPr>
            <w:tcW w:w="334" w:type="pct"/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Вступ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c>
          <w:tcPr>
            <w:tcW w:w="334" w:type="pct"/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Поняття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права Європейського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 ЄС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у галузі морського 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9315C4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1.5.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Default="00A179D6" w:rsidP="00931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1.6.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Організаційно-правові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834D0F" w:rsidRPr="00834D0F" w:rsidTr="00A179D6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pct"/>
          </w:tcPr>
          <w:p w:rsidR="00834D0F" w:rsidRPr="00834D0F" w:rsidRDefault="009315C4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DB5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59" w:type="pct"/>
          </w:tcPr>
          <w:p w:rsidR="00834D0F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24 </w:t>
            </w:r>
          </w:p>
        </w:tc>
      </w:tr>
      <w:tr w:rsidR="00834D0F" w:rsidRPr="00834D0F" w:rsidTr="00A179D6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465" w:type="pc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359" w:type="pct"/>
          </w:tcPr>
          <w:p w:rsidR="00834D0F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24 </w:t>
            </w:r>
          </w:p>
        </w:tc>
      </w:tr>
    </w:tbl>
    <w:p w:rsidR="000E1C56" w:rsidRDefault="000E1C56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A179D6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>2.3.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1276"/>
        <w:gridCol w:w="694"/>
      </w:tblGrid>
      <w:tr w:rsidR="00834D0F" w:rsidRPr="00834D0F" w:rsidTr="002A138F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834D0F" w:rsidRPr="00834D0F" w:rsidTr="002A138F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694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834D0F" w:rsidRPr="00834D0F" w:rsidRDefault="0035257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</w:tcPr>
          <w:p w:rsidR="00834D0F" w:rsidRPr="00834D0F" w:rsidRDefault="00C95295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Загальні засади правового регулювання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Міжнародного комерційного арбітражу»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Вступ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Поняття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права Європейського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 ЄС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у галузі морського 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Організаційно-правові засади спільної діяльності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1F5EAB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1F5EAB" w:rsidRPr="00834D0F" w:rsidRDefault="001F5EAB" w:rsidP="00A179D6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="00A179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5EAB" w:rsidRDefault="001F5EAB" w:rsidP="00936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Модульна контрольна робота № 1</w:t>
            </w:r>
          </w:p>
        </w:tc>
        <w:tc>
          <w:tcPr>
            <w:tcW w:w="1276" w:type="dxa"/>
          </w:tcPr>
          <w:p w:rsidR="001F5EAB" w:rsidRPr="00834D0F" w:rsidRDefault="001F5EA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1F5EAB" w:rsidRPr="001F5EAB" w:rsidRDefault="001F5EA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276" w:type="dxa"/>
          </w:tcPr>
          <w:p w:rsidR="00834D0F" w:rsidRPr="001F5EAB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94" w:type="dxa"/>
          </w:tcPr>
          <w:p w:rsidR="00834D0F" w:rsidRPr="00834D0F" w:rsidRDefault="00A179D6" w:rsidP="001F5EA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32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4D0F" w:rsidRPr="006C6E74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834D0F" w:rsidRPr="00834D0F" w:rsidRDefault="00A179D6" w:rsidP="006C6E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32</w:t>
            </w:r>
          </w:p>
        </w:tc>
      </w:tr>
    </w:tbl>
    <w:p w:rsidR="00834D0F" w:rsidRP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07FE2" w:rsidRDefault="00307FE2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 Самостійна (і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ндивідуальна)</w:t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робота студента, її зміст та обсяг </w:t>
      </w:r>
    </w:p>
    <w:p w:rsidR="00307FE2" w:rsidRPr="00834D0F" w:rsidRDefault="00307FE2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834D0F" w:rsidRPr="00307FE2" w:rsidTr="002A138F">
        <w:tc>
          <w:tcPr>
            <w:tcW w:w="693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№ п/п</w:t>
            </w:r>
          </w:p>
        </w:tc>
        <w:tc>
          <w:tcPr>
            <w:tcW w:w="7529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Обсяг СРС</w:t>
            </w:r>
          </w:p>
          <w:p w:rsidR="00834D0F" w:rsidRPr="00307FE2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(годин</w:t>
            </w: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lastRenderedPageBreak/>
              <w:t>)</w:t>
            </w:r>
          </w:p>
        </w:tc>
      </w:tr>
      <w:tr w:rsidR="00F05B1A" w:rsidRPr="00307FE2" w:rsidTr="002A138F">
        <w:tc>
          <w:tcPr>
            <w:tcW w:w="693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lastRenderedPageBreak/>
              <w:t>1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</w:p>
        </w:tc>
      </w:tr>
      <w:tr w:rsidR="00834D0F" w:rsidRPr="00307FE2" w:rsidTr="002A138F">
        <w:tc>
          <w:tcPr>
            <w:tcW w:w="9322" w:type="dxa"/>
            <w:gridSpan w:val="3"/>
            <w:shd w:val="clear" w:color="auto" w:fill="auto"/>
          </w:tcPr>
          <w:p w:rsidR="00834D0F" w:rsidRPr="00307FE2" w:rsidRDefault="00834D0F" w:rsidP="00352576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  </w:t>
            </w:r>
            <w:r w:rsidR="00352576"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1</w:t>
            </w:r>
            <w:r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семестр</w:t>
            </w:r>
          </w:p>
        </w:tc>
      </w:tr>
      <w:tr w:rsidR="00352576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352576" w:rsidRPr="00307FE2" w:rsidRDefault="00151DDF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1.</w:t>
            </w:r>
          </w:p>
        </w:tc>
        <w:tc>
          <w:tcPr>
            <w:tcW w:w="7529" w:type="dxa"/>
            <w:shd w:val="clear" w:color="auto" w:fill="auto"/>
          </w:tcPr>
          <w:p w:rsidR="00352576" w:rsidRPr="00307FE2" w:rsidRDefault="00F05B1A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Опрацювання лекційного матеріалу</w:t>
            </w:r>
          </w:p>
        </w:tc>
        <w:tc>
          <w:tcPr>
            <w:tcW w:w="1100" w:type="dxa"/>
            <w:shd w:val="clear" w:color="auto" w:fill="auto"/>
          </w:tcPr>
          <w:p w:rsidR="00352576" w:rsidRPr="00307FE2" w:rsidRDefault="00F05B1A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24</w:t>
            </w:r>
          </w:p>
        </w:tc>
      </w:tr>
      <w:tr w:rsidR="00F05B1A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F05B1A" w:rsidRPr="00307FE2" w:rsidRDefault="00151DDF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F05B1A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F05B1A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0</w:t>
            </w:r>
          </w:p>
        </w:tc>
      </w:tr>
      <w:tr w:rsidR="00F05B1A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F05B1A" w:rsidRPr="00307FE2" w:rsidRDefault="00307FE2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151DDF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Підготовка до модульної контрольної роботи № 1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151DD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2</w:t>
            </w:r>
          </w:p>
        </w:tc>
      </w:tr>
      <w:tr w:rsidR="00352576" w:rsidRPr="00307FE2" w:rsidTr="002A138F">
        <w:tc>
          <w:tcPr>
            <w:tcW w:w="693" w:type="dxa"/>
            <w:shd w:val="clear" w:color="auto" w:fill="auto"/>
          </w:tcPr>
          <w:p w:rsidR="00352576" w:rsidRPr="00307FE2" w:rsidRDefault="00307FE2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4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352576" w:rsidRPr="00307FE2" w:rsidRDefault="00151DDF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Курсова робота</w:t>
            </w:r>
          </w:p>
        </w:tc>
        <w:tc>
          <w:tcPr>
            <w:tcW w:w="1100" w:type="dxa"/>
            <w:shd w:val="clear" w:color="auto" w:fill="auto"/>
          </w:tcPr>
          <w:p w:rsidR="00352576" w:rsidRPr="00307FE2" w:rsidRDefault="00151DD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30</w:t>
            </w:r>
          </w:p>
        </w:tc>
      </w:tr>
      <w:tr w:rsidR="00834D0F" w:rsidRPr="00307FE2" w:rsidTr="002A138F">
        <w:tc>
          <w:tcPr>
            <w:tcW w:w="8222" w:type="dxa"/>
            <w:gridSpan w:val="2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  <w:shd w:val="clear" w:color="auto" w:fill="auto"/>
          </w:tcPr>
          <w:p w:rsidR="00834D0F" w:rsidRPr="00307FE2" w:rsidRDefault="00352576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86</w:t>
            </w:r>
          </w:p>
        </w:tc>
      </w:tr>
    </w:tbl>
    <w:p w:rsidR="00834D0F" w:rsidRP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2.4.1. Курсова робота</w:t>
      </w:r>
    </w:p>
    <w:p w:rsidR="00307FE2" w:rsidRPr="00834D0F" w:rsidRDefault="00307FE2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У першому семестрі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дисципліни «</w:t>
      </w:r>
      <w:r w:rsidR="003525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Виконання КР є важливим етапом у підготовці до участі в студентських конференціях, виконання дипломної роботи майбутнього фахівця в галузі права. </w:t>
      </w:r>
    </w:p>
    <w:p w:rsidR="00834D0F" w:rsidRPr="00834D0F" w:rsidRDefault="00834D0F" w:rsidP="00E30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Конкретна мета КР полягає в поглибленн</w:t>
      </w:r>
      <w:r w:rsidR="00E30D7C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теоретичних знань та вмінь з даної дисципліни; систематизація набутих знань; застосування набутих знань при вирішенні конкретних практичних задач; розуміння існуючих у даній науці проблем;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вивчення нормативно-правових актів, якими регулюється </w:t>
      </w:r>
      <w:r w:rsidR="003525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оволодіння спеціальними правовими термінами;  вивчення міжнародних </w:t>
      </w:r>
      <w:r w:rsidR="00EB5B9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конвенцій</w:t>
      </w:r>
      <w:r w:rsidR="00EB5B9A"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набуття відповідних навичок та вміння застосовувати правові норми у практичних ситуаціях, пов'язаних із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діяльністю</w:t>
      </w:r>
      <w:r w:rsidR="00EB5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юридичних осіб</w:t>
      </w:r>
      <w:r w:rsidR="00E30D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Для успішного виконання курсової роботи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Час, потрібний для виконання КР,  – до 30 годин самостійної роботи.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НАВЧАЛЬНО-МЕТОДИЧНІ МАТЕРІАЛИ З ДИСЦИПЛІНИ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3.1. Методи навчання 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Серед методів навчання використовуються наступні: за джерелом передачі та сприймання навчальної інформації (словесні, наочні, практичні); залежно від основної дидактичної мети і завдань (методи оволодіння новими знаннями; формування вмінь і навичок; перевірки та оцінювання знань, умінь і навичок; методи усного викладу знань; закріплення навчального матеріалу; самостійної роботи студентів з осмислення та засвоєння нового матеріалу).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3.2.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Рекомендованалітература</w:t>
      </w:r>
    </w:p>
    <w:p w:rsidR="00352576" w:rsidRDefault="00834D0F" w:rsidP="00352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Базова література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25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3.2.1.</w:t>
      </w:r>
      <w:r w:rsidRPr="003525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352576">
        <w:rPr>
          <w:rFonts w:ascii="Times New Roman" w:hAnsi="Times New Roman" w:cs="Times New Roman"/>
          <w:sz w:val="28"/>
          <w:szCs w:val="28"/>
        </w:rPr>
        <w:t>Европейское право: Учеб. для ВУЗов / Под общ. ред. д-ра юрид. наук, проф. Энгина Л.М. –М., 200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3.2.2. </w:t>
      </w:r>
      <w:r w:rsidRPr="00352576">
        <w:rPr>
          <w:rFonts w:ascii="Times New Roman" w:hAnsi="Times New Roman" w:cs="Times New Roman"/>
          <w:sz w:val="28"/>
          <w:szCs w:val="28"/>
        </w:rPr>
        <w:t>Кернз В. Вступ до права Європейського Союзу: Навч. посіб.: Пер. з англ. / Наук. ред. С.В.Ісакович, А.С.Метюшев. – К.: Знання, КОО, 20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52576">
        <w:rPr>
          <w:rFonts w:ascii="Times New Roman" w:hAnsi="Times New Roman" w:cs="Times New Roman"/>
          <w:sz w:val="28"/>
          <w:szCs w:val="28"/>
        </w:rPr>
        <w:t xml:space="preserve">2. -381с. 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.3. </w:t>
      </w:r>
      <w:r w:rsidRPr="00352576">
        <w:rPr>
          <w:rFonts w:ascii="Times New Roman" w:hAnsi="Times New Roman" w:cs="Times New Roman"/>
          <w:sz w:val="28"/>
          <w:szCs w:val="28"/>
        </w:rPr>
        <w:t>Проді Р. Задум об’єднаної Європи. – К.: К.І.С., 20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352576">
        <w:rPr>
          <w:rFonts w:ascii="Times New Roman" w:hAnsi="Times New Roman" w:cs="Times New Roman"/>
          <w:sz w:val="28"/>
          <w:szCs w:val="28"/>
        </w:rPr>
        <w:t>. –140 с.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.4. </w:t>
      </w:r>
      <w:r w:rsidRPr="00352576">
        <w:rPr>
          <w:rFonts w:ascii="Times New Roman" w:hAnsi="Times New Roman" w:cs="Times New Roman"/>
          <w:sz w:val="28"/>
          <w:szCs w:val="28"/>
        </w:rPr>
        <w:t>Татам А. Право Європейського Союзу: Підручник / Пер. з англ. – К., 1998. - 424с.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.5. </w:t>
      </w:r>
      <w:r w:rsidRPr="00352576">
        <w:rPr>
          <w:rFonts w:ascii="Times New Roman" w:hAnsi="Times New Roman" w:cs="Times New Roman"/>
          <w:sz w:val="28"/>
          <w:szCs w:val="28"/>
        </w:rPr>
        <w:t>Тоді Ф. Нарис історії Європейського Союзу. – К.: Аналітичний дослідний центр “АНОД”, Вид-во К.І.С., 20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.6.</w:t>
      </w:r>
      <w:r w:rsidRPr="00352576">
        <w:rPr>
          <w:rFonts w:ascii="Times New Roman" w:hAnsi="Times New Roman" w:cs="Times New Roman"/>
          <w:sz w:val="28"/>
          <w:szCs w:val="28"/>
        </w:rPr>
        <w:t xml:space="preserve">Топорнин   Б.Н. Европейское право: Учеб. –М., 1999. 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.7.</w:t>
      </w:r>
      <w:r w:rsidRPr="00352576">
        <w:rPr>
          <w:rFonts w:ascii="Times New Roman" w:hAnsi="Times New Roman" w:cs="Times New Roman"/>
          <w:sz w:val="28"/>
          <w:szCs w:val="28"/>
        </w:rPr>
        <w:t xml:space="preserve">Хартли Т.К.Основы права Европейского сообщества / Пер. с англ. – М., </w:t>
      </w:r>
      <w:r>
        <w:rPr>
          <w:rFonts w:ascii="Times New Roman" w:hAnsi="Times New Roman" w:cs="Times New Roman"/>
          <w:sz w:val="28"/>
          <w:szCs w:val="28"/>
          <w:lang w:val="uk-UA"/>
        </w:rPr>
        <w:t>2010</w:t>
      </w:r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576" w:rsidRPr="00352576" w:rsidRDefault="00352576" w:rsidP="003525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.8.</w:t>
      </w:r>
      <w:r w:rsidRPr="00352576">
        <w:rPr>
          <w:rFonts w:ascii="Times New Roman" w:hAnsi="Times New Roman" w:cs="Times New Roman"/>
          <w:sz w:val="28"/>
          <w:szCs w:val="28"/>
        </w:rPr>
        <w:t xml:space="preserve">Хорольский Р.Б. Судовий прецедент як джерело права Європейського співтовариства / Проблеми законності: Респ. міжвідом. наук. зб. / Відп. ред. Тацій В.Я. – Вип. 39. – Х.., </w:t>
      </w:r>
      <w:r>
        <w:rPr>
          <w:rFonts w:ascii="Times New Roman" w:hAnsi="Times New Roman" w:cs="Times New Roman"/>
          <w:sz w:val="28"/>
          <w:szCs w:val="28"/>
          <w:lang w:val="uk-UA"/>
        </w:rPr>
        <w:t>2004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DA1B5D" w:rsidRDefault="00A507C7" w:rsidP="00DA1B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 xml:space="preserve">3.2. </w:t>
      </w:r>
      <w:r w:rsidR="00151DD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Допоміжна література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B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3.</w:t>
      </w:r>
      <w:r w:rsidR="00151DD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</w:t>
      </w:r>
      <w:r w:rsidRPr="00DA1B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>Кобзар Ю. Інформаційне законодавство: європейський вектор розвитку// Віче. –2003. -№2(131). – С.51-55.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.10. </w:t>
      </w:r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>Паламарчук В., Литвиненко О.Взаємодія напівдемократій і усталених демократій – можливе майбутнє Європи // Віче. – 2003. -№2(131). – С.55-58.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.11.</w:t>
      </w:r>
      <w:r w:rsidR="00352576" w:rsidRPr="00352576">
        <w:rPr>
          <w:rFonts w:ascii="Times New Roman" w:hAnsi="Times New Roman" w:cs="Times New Roman"/>
          <w:sz w:val="28"/>
          <w:szCs w:val="28"/>
        </w:rPr>
        <w:t>Грубов В. Європейська безпека на платформі НАТО: принципи та вимоги // Віче. – 2003. - №1(130). – С. 38-44.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.12. </w:t>
      </w:r>
      <w:r w:rsidR="00352576" w:rsidRPr="00DA1B5D">
        <w:rPr>
          <w:rFonts w:ascii="Times New Roman" w:hAnsi="Times New Roman" w:cs="Times New Roman"/>
          <w:sz w:val="28"/>
          <w:szCs w:val="28"/>
        </w:rPr>
        <w:t>Гнатовський М. Концепція “європейського правового простору” в контексті проблем європейської інтеграції // Право україни. – 2003. – № 1. - С. 133-135.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.13.</w:t>
      </w:r>
      <w:r w:rsidR="00352576" w:rsidRPr="00DA1B5D">
        <w:rPr>
          <w:rFonts w:ascii="Times New Roman" w:hAnsi="Times New Roman" w:cs="Times New Roman"/>
          <w:sz w:val="28"/>
          <w:szCs w:val="28"/>
        </w:rPr>
        <w:t>Ковальова О. Зближення законодавства Європейського Союзу з правовими системами держав-кандидатів на вступ до ЄС // Право України. – 2003. - № 9. – С. 138-142.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.14. </w:t>
      </w:r>
      <w:r w:rsidR="00352576" w:rsidRPr="00DA1B5D">
        <w:rPr>
          <w:rFonts w:ascii="Times New Roman" w:hAnsi="Times New Roman" w:cs="Times New Roman"/>
          <w:sz w:val="28"/>
          <w:szCs w:val="28"/>
        </w:rPr>
        <w:t>Баймуратов М.О., Максименко С.В. Стратегія інтеграції України до Європейського Союзу: політико-правовий аналіз // Право України. – 2001. - № 10. – С.101.</w:t>
      </w:r>
    </w:p>
    <w:p w:rsidR="001A61CF" w:rsidRP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.15. 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Забігайло В. Шлях України до Європейського Союзу: виконання зобов’язань за Угодою про партнерство і співробітництво в сфері політико-правової реформи та гармонізації права. – К.: </w:t>
      </w:r>
      <w:r w:rsidRPr="00DA1B5D">
        <w:rPr>
          <w:rFonts w:ascii="Times New Roman" w:hAnsi="Times New Roman" w:cs="Times New Roman"/>
          <w:sz w:val="28"/>
          <w:szCs w:val="28"/>
        </w:rPr>
        <w:t>UEPLAC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>, 2000. – с.7.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3.3.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Інформаційніресурси в інтернеті 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3.3.1http://zakon3.rada.gov.ua/laws </w:t>
      </w:r>
    </w:p>
    <w:p w:rsid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3.2.2. </w:t>
      </w:r>
      <w:hyperlink r:id="rId10" w:history="1">
        <w:r w:rsidR="00A8142A" w:rsidRPr="00B66FF7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http://er.nau.edu.ua/handle/NAU/24185</w:t>
        </w:r>
      </w:hyperlink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Pr="00834D0F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CE3825" w:rsidRDefault="00834D0F" w:rsidP="00CE3825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</w:pPr>
    </w:p>
    <w:p w:rsidR="00834D0F" w:rsidRPr="00CE3825" w:rsidRDefault="00834D0F" w:rsidP="00CE3825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</w:pPr>
      <w:r w:rsidRPr="00CE38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t xml:space="preserve">4. РЕЙТИНГОВА  СИСТЕМА ОЦІНЮВАННЯ НАБУТИХ </w:t>
      </w:r>
      <w:r w:rsidRPr="00CE38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  <w:t>СТУДЕН-ТОМ ЗНАНЬ ТА ВМІНЬ.</w:t>
      </w:r>
    </w:p>
    <w:p w:rsidR="00834D0F" w:rsidRPr="00CE3825" w:rsidRDefault="00834D0F" w:rsidP="00834D0F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382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4.1. Методи контролю  та с</w:t>
      </w:r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хема нарахування балів.</w:t>
      </w:r>
    </w:p>
    <w:p w:rsidR="00834D0F" w:rsidRPr="00834D0F" w:rsidRDefault="00834D0F" w:rsidP="00834D0F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Оцінювання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окремих видів виконаної студентом навчальної роботи здійснюється в балах відповідно до табл. 4.1.</w:t>
      </w:r>
    </w:p>
    <w:p w:rsidR="00834D0F" w:rsidRPr="00834D0F" w:rsidRDefault="00834D0F" w:rsidP="00834D0F">
      <w:pPr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Таблиця 4.1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42"/>
        <w:gridCol w:w="1420"/>
        <w:gridCol w:w="1307"/>
      </w:tblGrid>
      <w:tr w:rsidR="00834D0F" w:rsidRPr="00834D0F" w:rsidTr="002A138F">
        <w:trPr>
          <w:cantSplit/>
          <w:trHeight w:hRule="exact" w:val="397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DA1B5D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семестр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hRule="exact" w:val="34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406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444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lastRenderedPageBreak/>
              <w:t>Активна робота на лекціях  та наявність конспекту лекцій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151D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обговоренні теоретичних питань на практичних заняттях (5бх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8</w:t>
            </w: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36 </w:t>
            </w: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hRule="exact" w:val="7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trHeight w:hRule="exact" w:val="58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DA1B5D" w:rsidP="005C1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Диференційований залік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12</w:t>
            </w:r>
          </w:p>
        </w:tc>
      </w:tr>
      <w:tr w:rsidR="00834D0F" w:rsidRPr="00834D0F" w:rsidTr="002A138F">
        <w:trPr>
          <w:cantSplit/>
          <w:trHeight w:hRule="exact" w:val="528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дисципліною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  <w:tr w:rsidR="00834D0F" w:rsidRPr="00834D0F" w:rsidTr="002A138F">
        <w:trPr>
          <w:trHeight w:val="227"/>
        </w:trPr>
        <w:tc>
          <w:tcPr>
            <w:tcW w:w="9356" w:type="dxa"/>
            <w:gridSpan w:val="4"/>
          </w:tcPr>
          <w:p w:rsidR="00834D0F" w:rsidRPr="00834D0F" w:rsidRDefault="00DA1B5D" w:rsidP="00834D0F">
            <w:pPr>
              <w:spacing w:after="0" w:line="240" w:lineRule="auto"/>
              <w:ind w:left="108"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trHeight w:val="230"/>
        </w:trPr>
        <w:tc>
          <w:tcPr>
            <w:tcW w:w="6487" w:type="dxa"/>
          </w:tcPr>
          <w:p w:rsidR="00834D0F" w:rsidRPr="00834D0F" w:rsidRDefault="00834D0F" w:rsidP="000D1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№ </w:t>
            </w:r>
            <w:r w:rsidR="000D1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869" w:type="dxa"/>
            <w:gridSpan w:val="3"/>
            <w:vMerge w:val="restar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</w:tr>
      <w:tr w:rsidR="00834D0F" w:rsidRPr="00834D0F" w:rsidTr="002A138F">
        <w:trPr>
          <w:trHeight w:val="32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2869" w:type="dxa"/>
            <w:gridSpan w:val="3"/>
            <w:vMerge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34D0F" w:rsidRPr="00834D0F" w:rsidTr="002A138F">
        <w:trPr>
          <w:trHeight w:val="282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</w:t>
            </w:r>
          </w:p>
        </w:tc>
      </w:tr>
      <w:tr w:rsidR="00834D0F" w:rsidRPr="00834D0F" w:rsidTr="002A138F">
        <w:trPr>
          <w:trHeight w:val="23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</w:t>
            </w:r>
          </w:p>
        </w:tc>
      </w:tr>
      <w:tr w:rsidR="00834D0F" w:rsidRPr="00834D0F" w:rsidTr="002A138F">
        <w:trPr>
          <w:trHeight w:val="367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387FE4" w:rsidRDefault="00834D0F" w:rsidP="00CE38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4.2. </w:t>
      </w:r>
      <w:r w:rsidRPr="00834D0F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Виконані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навчальної роботи зараховуються студенту, якщо 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він отримав за них позитивну рейтингову оцінку (табл. 4.2).</w:t>
      </w:r>
    </w:p>
    <w:p w:rsidR="00387FE4" w:rsidRPr="00834D0F" w:rsidRDefault="00387FE4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Таблиця 4.2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 xml:space="preserve">Відповідність рейтингових оцінок за окремі види навчальної роботи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балах оцінкам за національною шкалою</w:t>
      </w:r>
    </w:p>
    <w:tbl>
      <w:tblPr>
        <w:tblW w:w="89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1594"/>
        <w:gridCol w:w="1401"/>
        <w:gridCol w:w="1418"/>
        <w:gridCol w:w="3066"/>
      </w:tblGrid>
      <w:tr w:rsidR="00834D0F" w:rsidRPr="00834D0F" w:rsidTr="002A138F">
        <w:trPr>
          <w:cantSplit/>
          <w:trHeight w:val="489"/>
          <w:jc w:val="center"/>
        </w:trPr>
        <w:tc>
          <w:tcPr>
            <w:tcW w:w="5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Рейтингова оцінка в балах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</w:t>
            </w:r>
          </w:p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cantSplit/>
          <w:trHeight w:val="1736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Виконання модульної контрольної роботи </w:t>
            </w:r>
          </w:p>
        </w:tc>
        <w:tc>
          <w:tcPr>
            <w:tcW w:w="3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26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cantSplit/>
          <w:trHeight w:val="33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cantSplit/>
          <w:trHeight w:val="214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cantSplit/>
          <w:trHeight w:val="320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15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яка заноситься до відомості модульного контролю. </w:t>
      </w:r>
    </w:p>
    <w:p w:rsidR="00834D0F" w:rsidRPr="00834D0F" w:rsidRDefault="00834D0F" w:rsidP="00834D0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lastRenderedPageBreak/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A507C7" w:rsidRDefault="00A507C7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4.3</w:t>
      </w:r>
    </w:p>
    <w:p w:rsidR="00834D0F" w:rsidRPr="00834D0F" w:rsidRDefault="00834D0F" w:rsidP="0083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Відповідність підсумкових модульних рейтингових оцінок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br/>
        <w:t xml:space="preserve">в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балах оцінкам за національною шкалою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3960"/>
      </w:tblGrid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28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151DDF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79</w:t>
            </w:r>
            <w:r w:rsidR="00BB78BE"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- </w:t>
            </w:r>
            <w:r w:rsidR="00BB78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BB78BE" w:rsidRPr="00834D0F" w:rsidTr="00BB78BE">
        <w:trPr>
          <w:trHeight w:val="32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66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151DDF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BB78BE" w:rsidRPr="00834D0F" w:rsidTr="00BB78BE">
        <w:trPr>
          <w:trHeight w:val="7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151DDF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4.5. Підсумкова модульна  рейтингова оцінка, отримана студентом  за результатами виконання та захисту курсової роботи в балах, за національною шкалою та шкалою </w:t>
      </w:r>
      <w:r w:rsidRPr="00834D0F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val="en-US" w:eastAsia="ru-RU"/>
        </w:rPr>
        <w:t>ECTS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заноситься до відомості модульного контролю.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4.6.</w:t>
      </w:r>
      <w:r w:rsidRPr="00834D0F"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  <w:t xml:space="preserve"> Підсумкова модульна рейтингова оцінка у балах </w:t>
      </w:r>
      <w:r w:rsidRPr="00834D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становить підсумкову семестрову модульну рейтингову оцінку, яка </w:t>
      </w: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перераховується в оцінку за національною шкалою (табл. 4.4).</w:t>
      </w:r>
    </w:p>
    <w:p w:rsid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p w:rsidR="00FD2F54" w:rsidRPr="00834D0F" w:rsidRDefault="00FD2F54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834D0F" w:rsidRPr="00834D0F" w:rsidTr="002A138F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4.5</w:t>
            </w:r>
          </w:p>
        </w:tc>
      </w:tr>
      <w:tr w:rsidR="00834D0F" w:rsidRPr="00834D0F" w:rsidTr="002A138F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Відповідність підсумкової семестрової модульної рейтингової оцінки в балах 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 xml:space="preserve">Відповідність залікової 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>рейтингової оцінки в балах оцінці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>Оцінка в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</w:t>
            </w: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цінка в</w:t>
            </w: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uk-UA" w:eastAsia="ru-RU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:rsidR="00834D0F" w:rsidRPr="00834D0F" w:rsidRDefault="00834D0F" w:rsidP="00A8142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4.7.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A507C7" w:rsidRDefault="00A507C7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5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  <w:t>Таблиця 4.6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Відповідність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підсумкової </w:t>
      </w: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семестрової рейтингової оцінки в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балах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lastRenderedPageBreak/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834D0F" w:rsidRPr="00834D0F" w:rsidTr="002A138F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шкалою ЕСТS</w:t>
            </w:r>
          </w:p>
        </w:tc>
      </w:tr>
      <w:tr w:rsidR="00834D0F" w:rsidRPr="00834D0F" w:rsidTr="002A138F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834D0F" w:rsidRPr="00834D0F" w:rsidTr="002A138F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834D0F" w:rsidRPr="00834D0F" w:rsidTr="002A138F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Дуже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834D0F" w:rsidRPr="00834D0F" w:rsidTr="002A138F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834D0F" w:rsidRPr="00834D0F" w:rsidTr="002A138F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834D0F" w:rsidRPr="00834D0F" w:rsidTr="002A138F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обов'язковим повторним курсом)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532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92/</w:t>
      </w:r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Відм./А, 87/Добре/В, 79/Добре/С, 68/Задов./D, 65/Задов./Е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4.10.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Підсумкова модульна рейтингова оцінка, отримана студентом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результатами виконання та захисту курсової роботи/проекту, крім  відомості модульного контролю,  заноситься також до навчальної картки, залікової книжки  та Додатку до диплома,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92/</w:t>
      </w:r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Відм./А, 87/Добре/В, 79/Добре/</w:t>
      </w:r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val="uk-UA" w:eastAsia="ru-RU"/>
        </w:rPr>
        <w:t>С, 68/Задов./D, 65/Задов./Е</w:t>
      </w:r>
      <w:r w:rsidRPr="00834D0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4.11.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диплома.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(Ф 03.02 – 01)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834D0F" w:rsidRPr="00834D0F" w:rsidTr="002A138F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34D0F" w:rsidRPr="00834D0F" w:rsidTr="002A138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(Ф 03.02 – 04)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34D0F" w:rsidRPr="00834D0F" w:rsidTr="002A138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34D0F" w:rsidRPr="00834D0F" w:rsidTr="002A138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834D0F" w:rsidRPr="00834D0F" w:rsidTr="002A138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</w:p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834D0F" w:rsidRPr="00834D0F" w:rsidTr="002A138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834D0F" w:rsidRPr="00834D0F" w:rsidSect="000E1C5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59A" w:rsidRDefault="00F8259A" w:rsidP="000E1C56">
      <w:pPr>
        <w:spacing w:after="0" w:line="240" w:lineRule="auto"/>
      </w:pPr>
      <w:r>
        <w:separator/>
      </w:r>
    </w:p>
  </w:endnote>
  <w:endnote w:type="continuationSeparator" w:id="0">
    <w:p w:rsidR="00F8259A" w:rsidRDefault="00F8259A" w:rsidP="000E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59A" w:rsidRDefault="00F8259A" w:rsidP="000E1C56">
      <w:pPr>
        <w:spacing w:after="0" w:line="240" w:lineRule="auto"/>
      </w:pPr>
      <w:r>
        <w:separator/>
      </w:r>
    </w:p>
  </w:footnote>
  <w:footnote w:type="continuationSeparator" w:id="0">
    <w:p w:rsidR="00F8259A" w:rsidRDefault="00F8259A" w:rsidP="000E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856"/>
      <w:gridCol w:w="3969"/>
      <w:gridCol w:w="1276"/>
      <w:gridCol w:w="2279"/>
    </w:tblGrid>
    <w:tr w:rsidR="00F05B1A" w:rsidTr="000E1C56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05B1A" w:rsidRDefault="00F05B1A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8240" behindDoc="1" locked="0" layoutInCell="1" allowOverlap="1" wp14:anchorId="0EE902E0" wp14:editId="1C200AE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spacing w:line="216" w:lineRule="auto"/>
            <w:jc w:val="center"/>
          </w:pPr>
          <w:r>
            <w:t>Система менеджменту якості.</w:t>
          </w:r>
        </w:p>
        <w:p w:rsidR="00F05B1A" w:rsidRDefault="00F05B1A">
          <w:pPr>
            <w:pStyle w:val="a5"/>
            <w:spacing w:line="216" w:lineRule="auto"/>
            <w:jc w:val="center"/>
          </w:pPr>
          <w:r>
            <w:t xml:space="preserve">Робоча програма </w:t>
          </w:r>
        </w:p>
        <w:p w:rsidR="00F05B1A" w:rsidRDefault="00F05B1A">
          <w:pPr>
            <w:pStyle w:val="a5"/>
            <w:spacing w:line="216" w:lineRule="auto"/>
            <w:jc w:val="center"/>
          </w:pPr>
          <w:r>
            <w:t xml:space="preserve">навчальної дисципліни </w:t>
          </w:r>
        </w:p>
        <w:p w:rsidR="00F05B1A" w:rsidRDefault="00F05B1A" w:rsidP="00154C4B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="00660116" w:rsidRPr="00660116">
            <w:t>Актуальні питання функціонування транспортної системи ЄС</w:t>
          </w:r>
          <w: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jc w:val="center"/>
          </w:pPr>
          <w:r>
            <w:t>Шифр</w:t>
          </w:r>
        </w:p>
        <w:p w:rsidR="00F05B1A" w:rsidRDefault="00F05B1A">
          <w:pPr>
            <w:pStyle w:val="a5"/>
            <w:jc w:val="center"/>
          </w:pPr>
          <w: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05B1A" w:rsidRPr="000E1C56" w:rsidRDefault="00F05B1A">
          <w:pPr>
            <w:pStyle w:val="a5"/>
            <w:jc w:val="center"/>
            <w:rPr>
              <w:smallCaps/>
            </w:rPr>
          </w:pPr>
          <w:r w:rsidRPr="000E1C56">
            <w:rPr>
              <w:smallCaps/>
            </w:rPr>
            <w:t xml:space="preserve">СМЯ НАУ </w:t>
          </w:r>
        </w:p>
        <w:p w:rsidR="00F05B1A" w:rsidRDefault="00F05B1A" w:rsidP="000E1C56">
          <w:pPr>
            <w:pStyle w:val="a5"/>
            <w:jc w:val="center"/>
            <w:rPr>
              <w:lang w:val="ru-RU"/>
            </w:rPr>
          </w:pPr>
          <w:r w:rsidRPr="000E1C56">
            <w:rPr>
              <w:smallCaps/>
            </w:rPr>
            <w:t>РП 13.01.05-01-20</w:t>
          </w:r>
          <w:r w:rsidRPr="000E1C56">
            <w:rPr>
              <w:smallCaps/>
              <w:lang w:val="en-US"/>
            </w:rPr>
            <w:t>1</w:t>
          </w:r>
          <w:r w:rsidRPr="000E1C56">
            <w:rPr>
              <w:smallCaps/>
              <w:lang w:val="ru-RU"/>
            </w:rPr>
            <w:t>7</w:t>
          </w:r>
        </w:p>
      </w:tc>
    </w:tr>
    <w:tr w:rsidR="00F05B1A" w:rsidTr="000E1C56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rPr>
              <w:rFonts w:eastAsia="Times New Roman"/>
              <w:sz w:val="18"/>
              <w:szCs w:val="18"/>
              <w:lang w:eastAsia="ru-RU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rPr>
              <w:rFonts w:eastAsia="Times New Roman"/>
              <w:b/>
              <w:lang w:eastAsia="ru-RU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jc w:val="center"/>
          </w:pPr>
          <w:r>
            <w:t>Стор</w:t>
          </w:r>
          <w:r>
            <w:rPr>
              <w:lang w:val="ru-RU"/>
            </w:rPr>
            <w:t xml:space="preserve">. </w:t>
          </w:r>
          <w:r w:rsidR="009D32E4">
            <w:fldChar w:fldCharType="begin"/>
          </w:r>
          <w:r w:rsidR="009D32E4">
            <w:instrText xml:space="preserve"> PAGE </w:instrText>
          </w:r>
          <w:r w:rsidR="009D32E4">
            <w:fldChar w:fldCharType="separate"/>
          </w:r>
          <w:r w:rsidR="00EF7292">
            <w:rPr>
              <w:noProof/>
            </w:rPr>
            <w:t>4</w:t>
          </w:r>
          <w:r w:rsidR="009D32E4">
            <w:rPr>
              <w:noProof/>
            </w:rPr>
            <w:fldChar w:fldCharType="end"/>
          </w:r>
          <w:r>
            <w:t xml:space="preserve"> із </w:t>
          </w:r>
          <w:r w:rsidR="009D32E4">
            <w:fldChar w:fldCharType="begin"/>
          </w:r>
          <w:r w:rsidR="009D32E4">
            <w:instrText xml:space="preserve"> NUMPAGES </w:instrText>
          </w:r>
          <w:r w:rsidR="009D32E4">
            <w:fldChar w:fldCharType="separate"/>
          </w:r>
          <w:r w:rsidR="00EF7292">
            <w:rPr>
              <w:noProof/>
            </w:rPr>
            <w:t>16</w:t>
          </w:r>
          <w:r w:rsidR="009D32E4">
            <w:rPr>
              <w:noProof/>
            </w:rPr>
            <w:fldChar w:fldCharType="end"/>
          </w:r>
        </w:p>
      </w:tc>
    </w:tr>
  </w:tbl>
  <w:p w:rsidR="00F05B1A" w:rsidRDefault="00F05B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1">
    <w:nsid w:val="0CF13413"/>
    <w:multiLevelType w:val="hybridMultilevel"/>
    <w:tmpl w:val="1E0AD18C"/>
    <w:lvl w:ilvl="0" w:tplc="3FEA79A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7B12619"/>
    <w:multiLevelType w:val="hybridMultilevel"/>
    <w:tmpl w:val="FB9658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F722C0"/>
    <w:multiLevelType w:val="multilevel"/>
    <w:tmpl w:val="C19030B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6">
    <w:nsid w:val="33127177"/>
    <w:multiLevelType w:val="hybridMultilevel"/>
    <w:tmpl w:val="19809AF8"/>
    <w:lvl w:ilvl="0" w:tplc="B04E4E58">
      <w:numFmt w:val="bullet"/>
      <w:lvlText w:val="-"/>
      <w:lvlJc w:val="left"/>
      <w:pPr>
        <w:ind w:left="1063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7">
    <w:nsid w:val="39F81605"/>
    <w:multiLevelType w:val="hybridMultilevel"/>
    <w:tmpl w:val="0C8460F0"/>
    <w:lvl w:ilvl="0" w:tplc="32F0A8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C8206E4"/>
    <w:multiLevelType w:val="hybridMultilevel"/>
    <w:tmpl w:val="960E2CE2"/>
    <w:lvl w:ilvl="0" w:tplc="B7DAB2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0C05D2"/>
    <w:multiLevelType w:val="hybridMultilevel"/>
    <w:tmpl w:val="23700C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F40D8"/>
    <w:multiLevelType w:val="hybridMultilevel"/>
    <w:tmpl w:val="C8D4FB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60F05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E77E5F"/>
    <w:multiLevelType w:val="multilevel"/>
    <w:tmpl w:val="B63216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510C022E"/>
    <w:multiLevelType w:val="multilevel"/>
    <w:tmpl w:val="A1F6E3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4">
    <w:nsid w:val="63690EFB"/>
    <w:multiLevelType w:val="hybridMultilevel"/>
    <w:tmpl w:val="ABD8EDD6"/>
    <w:lvl w:ilvl="0" w:tplc="6DACE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CD1A66"/>
    <w:multiLevelType w:val="multilevel"/>
    <w:tmpl w:val="DEA6322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3"/>
  </w:num>
  <w:num w:numId="5">
    <w:abstractNumId w:val="15"/>
  </w:num>
  <w:num w:numId="6">
    <w:abstractNumId w:val="7"/>
  </w:num>
  <w:num w:numId="7">
    <w:abstractNumId w:val="11"/>
  </w:num>
  <w:num w:numId="8">
    <w:abstractNumId w:val="1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6"/>
  </w:num>
  <w:num w:numId="14">
    <w:abstractNumId w:val="8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D5"/>
    <w:rsid w:val="000D1043"/>
    <w:rsid w:val="000E1C56"/>
    <w:rsid w:val="00151DDF"/>
    <w:rsid w:val="00154C4B"/>
    <w:rsid w:val="00172EC9"/>
    <w:rsid w:val="00177D48"/>
    <w:rsid w:val="001812E8"/>
    <w:rsid w:val="001A61CF"/>
    <w:rsid w:val="001E3185"/>
    <w:rsid w:val="001F0B9E"/>
    <w:rsid w:val="001F5EAB"/>
    <w:rsid w:val="00212914"/>
    <w:rsid w:val="00247113"/>
    <w:rsid w:val="002A138F"/>
    <w:rsid w:val="002A640B"/>
    <w:rsid w:val="002F6B67"/>
    <w:rsid w:val="00307FE2"/>
    <w:rsid w:val="003447F3"/>
    <w:rsid w:val="00352576"/>
    <w:rsid w:val="00355456"/>
    <w:rsid w:val="00387FE4"/>
    <w:rsid w:val="003B4FEF"/>
    <w:rsid w:val="004407DA"/>
    <w:rsid w:val="00463981"/>
    <w:rsid w:val="00472534"/>
    <w:rsid w:val="004B70B9"/>
    <w:rsid w:val="004D29B7"/>
    <w:rsid w:val="004D2B72"/>
    <w:rsid w:val="004D60F1"/>
    <w:rsid w:val="004D67F8"/>
    <w:rsid w:val="00500D14"/>
    <w:rsid w:val="00521993"/>
    <w:rsid w:val="00592110"/>
    <w:rsid w:val="005B45D6"/>
    <w:rsid w:val="005B48D5"/>
    <w:rsid w:val="005C1762"/>
    <w:rsid w:val="00612548"/>
    <w:rsid w:val="00626F35"/>
    <w:rsid w:val="00660116"/>
    <w:rsid w:val="00680DB1"/>
    <w:rsid w:val="006C6E74"/>
    <w:rsid w:val="006D131B"/>
    <w:rsid w:val="006E39AA"/>
    <w:rsid w:val="00711DA5"/>
    <w:rsid w:val="007A3416"/>
    <w:rsid w:val="00834D0F"/>
    <w:rsid w:val="00836A0A"/>
    <w:rsid w:val="009315C4"/>
    <w:rsid w:val="009361D8"/>
    <w:rsid w:val="00980E07"/>
    <w:rsid w:val="00981CB0"/>
    <w:rsid w:val="009D056D"/>
    <w:rsid w:val="009D32E4"/>
    <w:rsid w:val="009E64DF"/>
    <w:rsid w:val="00A179D6"/>
    <w:rsid w:val="00A507C7"/>
    <w:rsid w:val="00A8142A"/>
    <w:rsid w:val="00A96808"/>
    <w:rsid w:val="00AA6A75"/>
    <w:rsid w:val="00AB4D45"/>
    <w:rsid w:val="00AC1C4B"/>
    <w:rsid w:val="00AF4479"/>
    <w:rsid w:val="00B13189"/>
    <w:rsid w:val="00B26D42"/>
    <w:rsid w:val="00B3401F"/>
    <w:rsid w:val="00B84C83"/>
    <w:rsid w:val="00BB78BE"/>
    <w:rsid w:val="00C1674E"/>
    <w:rsid w:val="00C537C8"/>
    <w:rsid w:val="00C675DA"/>
    <w:rsid w:val="00C95295"/>
    <w:rsid w:val="00CE3825"/>
    <w:rsid w:val="00D00A5A"/>
    <w:rsid w:val="00D3212F"/>
    <w:rsid w:val="00D50C70"/>
    <w:rsid w:val="00D52079"/>
    <w:rsid w:val="00D52620"/>
    <w:rsid w:val="00DA1B5D"/>
    <w:rsid w:val="00DB5F5B"/>
    <w:rsid w:val="00DB7500"/>
    <w:rsid w:val="00E30D7C"/>
    <w:rsid w:val="00E7631B"/>
    <w:rsid w:val="00EB0D01"/>
    <w:rsid w:val="00EB5B9A"/>
    <w:rsid w:val="00EF7292"/>
    <w:rsid w:val="00F05B1A"/>
    <w:rsid w:val="00F76615"/>
    <w:rsid w:val="00F8259A"/>
    <w:rsid w:val="00F868AC"/>
    <w:rsid w:val="00F96CB6"/>
    <w:rsid w:val="00FA72D3"/>
    <w:rsid w:val="00FD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aliases w:val="Знак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aliases w:val="Знак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r.nau.edu.ua/handle/NAU/2418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3762</Words>
  <Characters>21446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2</cp:revision>
  <cp:lastPrinted>2017-10-17T11:25:00Z</cp:lastPrinted>
  <dcterms:created xsi:type="dcterms:W3CDTF">2018-11-10T13:30:00Z</dcterms:created>
  <dcterms:modified xsi:type="dcterms:W3CDTF">2018-11-10T13:30:00Z</dcterms:modified>
</cp:coreProperties>
</file>