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0EB6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УДК 341.01 (043.2)</w:t>
      </w:r>
    </w:p>
    <w:p w14:paraId="3C20222D" w14:textId="77777777" w:rsidR="00A95A19" w:rsidRDefault="00A95A19" w:rsidP="00A95A19">
      <w:pPr>
        <w:spacing w:line="288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778D7">
        <w:rPr>
          <w:rFonts w:ascii="Times New Roman" w:hAnsi="Times New Roman" w:cs="Times New Roman"/>
          <w:b/>
          <w:bCs/>
          <w:sz w:val="26"/>
          <w:szCs w:val="26"/>
        </w:rPr>
        <w:t>Радзівілл</w:t>
      </w:r>
      <w:proofErr w:type="spellEnd"/>
      <w:r w:rsidRPr="007778D7">
        <w:rPr>
          <w:rFonts w:ascii="Times New Roman" w:hAnsi="Times New Roman" w:cs="Times New Roman"/>
          <w:b/>
          <w:bCs/>
          <w:sz w:val="26"/>
          <w:szCs w:val="26"/>
        </w:rPr>
        <w:t xml:space="preserve"> О.А.</w:t>
      </w:r>
      <w:r w:rsidRPr="00EA75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к.ю.н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., доцент, </w:t>
      </w:r>
    </w:p>
    <w:p w14:paraId="37CBEBD2" w14:textId="77777777" w:rsidR="00A95A19" w:rsidRDefault="00A95A19" w:rsidP="00A95A19">
      <w:pPr>
        <w:spacing w:line="288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 xml:space="preserve">Юридичний факультет, </w:t>
      </w:r>
    </w:p>
    <w:p w14:paraId="2522981B" w14:textId="77777777" w:rsidR="00A95A19" w:rsidRDefault="00A95A19" w:rsidP="00A95A19">
      <w:pPr>
        <w:spacing w:line="288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 xml:space="preserve">Національний авіаційний університет, м. Київ, </w:t>
      </w:r>
      <w:r>
        <w:rPr>
          <w:rFonts w:ascii="Times New Roman" w:hAnsi="Times New Roman" w:cs="Times New Roman"/>
          <w:sz w:val="26"/>
          <w:szCs w:val="26"/>
        </w:rPr>
        <w:t>Україна</w:t>
      </w:r>
    </w:p>
    <w:p w14:paraId="3B31FBDB" w14:textId="77777777" w:rsidR="00A95A19" w:rsidRPr="00EA75C2" w:rsidRDefault="00A95A19" w:rsidP="00A95A19">
      <w:pPr>
        <w:spacing w:line="288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797D54E" w14:textId="77777777" w:rsidR="00A95A19" w:rsidRDefault="00A95A19" w:rsidP="00A95A19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8D7">
        <w:rPr>
          <w:rFonts w:ascii="Times New Roman" w:hAnsi="Times New Roman" w:cs="Times New Roman"/>
          <w:b/>
          <w:bCs/>
          <w:sz w:val="26"/>
          <w:szCs w:val="26"/>
        </w:rPr>
        <w:t>СОЦІАЛЬНІ ЗРУШЕННЯ ЯК КООПЕРАТИВНИЙ</w:t>
      </w:r>
    </w:p>
    <w:p w14:paraId="66DED585" w14:textId="77777777" w:rsidR="00A95A19" w:rsidRPr="007778D7" w:rsidRDefault="00A95A19" w:rsidP="00A95A19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8D7">
        <w:rPr>
          <w:rFonts w:ascii="Times New Roman" w:hAnsi="Times New Roman" w:cs="Times New Roman"/>
          <w:b/>
          <w:bCs/>
          <w:sz w:val="26"/>
          <w:szCs w:val="26"/>
        </w:rPr>
        <w:t>ЕФЕКТ ІНДИВІДУАЛЬНИХ МОТИВІВ</w:t>
      </w:r>
    </w:p>
    <w:p w14:paraId="0DB23466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 xml:space="preserve">На тлі безумовного поступу людства в пошуках і апробації найбільш досконалих форм організації публічного порядку, наукою все глибше усвідомлюється, що головним джерелом енергії соціальних процесів є індивідуальні прагнення, тиражовані в типових «стилях» колективної поведінки [1, с. 105]. Загалом, в залежності від історичних </w:t>
      </w:r>
    </w:p>
    <w:p w14:paraId="0890E1CF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 xml:space="preserve">137 </w:t>
      </w:r>
    </w:p>
    <w:p w14:paraId="393370E1" w14:textId="77777777" w:rsidR="00A95A19" w:rsidRPr="00EA75C2" w:rsidRDefault="00A95A19" w:rsidP="00A95A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обставин,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5C2">
        <w:rPr>
          <w:rFonts w:ascii="Times New Roman" w:hAnsi="Times New Roman" w:cs="Times New Roman"/>
          <w:sz w:val="26"/>
          <w:szCs w:val="26"/>
        </w:rPr>
        <w:t xml:space="preserve">індивідуальні прагнення можуть співвідноситись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дисонансно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чи резонансно. При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дисонансному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їх співвідношенні в суспільстві взагалі не можна очікувати ніяких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самоорганізованих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спільних дій, і в такому стані воно виявляється не захищеним від маніпуляцій і прямого тиску ззовні, Всі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макромасштабні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зрушення в суспільствах здійснюються Лише при резонансному співвідношенні індивідуальних прагнень, які акумулюються в певний «кооперативний ефект», що, в свою чергу, потенційно може мати як творчі, так і руйнівні наслідки [2, с. 67].</w:t>
      </w:r>
    </w:p>
    <w:p w14:paraId="057E47CD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Спонтанні колективні прагнення «неруйнівного» характеру, тобто такі, що можуть бути втілені в конструктивних творчих діях, є, очевидно, менш вірогідним, оскільки можливі при певному рівні культури, а також завдяки консервативним і стійким до руйнування традиційним нормам міжособистісних взаємин. Руйнівні впливи ззовні, можуть здійснюватися як шляхом прямої «ідеологічної агресії», так і опосередковано - через «культурологічний шок», що поступово формує в «суспільстві- реципієнті» елементи його саморуйнування. Оскільки історичні обставини складалися таким чином, що сучасне міжнародне співтовариство мас безліч подібних суспільств з істотно  втраченими засобами самовідтворення, то більш вірогідним видається другий варіант, тобто «кооперативний ефект» спільних прагнень руйнівного характеру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A75C2">
        <w:rPr>
          <w:rFonts w:ascii="Times New Roman" w:hAnsi="Times New Roman" w:cs="Times New Roman"/>
          <w:sz w:val="26"/>
          <w:szCs w:val="26"/>
        </w:rPr>
        <w:t>Він формується як реакція на порівняно прості подразники, що безпосередньо провокують емоційну розрядку, яка може бути скерована як назовні, наприклад, у вигляді актів агресії, так і всередину суспільстві, наприклад, на переслідування певних соціальних груп чи повалення! власного непопулярного політичного режиму. В останньо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EA75C2">
        <w:rPr>
          <w:rFonts w:ascii="Times New Roman" w:hAnsi="Times New Roman" w:cs="Times New Roman"/>
          <w:sz w:val="26"/>
          <w:szCs w:val="26"/>
        </w:rPr>
        <w:t xml:space="preserve"> випадку кооперативний ефект може надалі розпастися на окремі різновекторні прагнення, або ж закріпитися в якості спільної волі суспільст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EA75C2">
        <w:rPr>
          <w:rFonts w:ascii="Times New Roman" w:hAnsi="Times New Roman" w:cs="Times New Roman"/>
          <w:sz w:val="26"/>
          <w:szCs w:val="26"/>
        </w:rPr>
        <w:t xml:space="preserve"> більш чи менш раціонально обґрунтованих рішеннях, правила</w:t>
      </w:r>
      <w:r>
        <w:rPr>
          <w:rFonts w:ascii="Times New Roman" w:hAnsi="Times New Roman" w:cs="Times New Roman"/>
          <w:sz w:val="26"/>
          <w:szCs w:val="26"/>
        </w:rPr>
        <w:t>х та</w:t>
      </w:r>
      <w:r w:rsidRPr="00EA75C2">
        <w:rPr>
          <w:rFonts w:ascii="Times New Roman" w:hAnsi="Times New Roman" w:cs="Times New Roman"/>
          <w:sz w:val="26"/>
          <w:szCs w:val="26"/>
        </w:rPr>
        <w:t xml:space="preserve"> інших складових правопорядку, який має шанс стати оновленою соціальною системою.</w:t>
      </w:r>
    </w:p>
    <w:p w14:paraId="589531B4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У будь-якому випадку, суспільство, будучи дисипативн</w:t>
      </w:r>
      <w:r>
        <w:rPr>
          <w:rFonts w:ascii="Times New Roman" w:hAnsi="Times New Roman" w:cs="Times New Roman"/>
          <w:sz w:val="26"/>
          <w:szCs w:val="26"/>
        </w:rPr>
        <w:t>ою</w:t>
      </w:r>
      <w:r w:rsidRPr="00EA75C2">
        <w:rPr>
          <w:rFonts w:ascii="Times New Roman" w:hAnsi="Times New Roman" w:cs="Times New Roman"/>
          <w:sz w:val="26"/>
          <w:szCs w:val="26"/>
        </w:rPr>
        <w:t xml:space="preserve"> системою, повинно </w:t>
      </w:r>
      <w:r w:rsidRPr="00EA75C2">
        <w:rPr>
          <w:rFonts w:ascii="Times New Roman" w:hAnsi="Times New Roman" w:cs="Times New Roman"/>
          <w:sz w:val="26"/>
          <w:szCs w:val="26"/>
        </w:rPr>
        <w:lastRenderedPageBreak/>
        <w:t>постійно здійснювати роботу проти свого розпаду (дисипації) [З, с. 18]. Для суспільства така робота полягає, передовсім!) у підтримці належного рівня культури в її найширшому тлумаченні, тобто в комплексі таких її складових, як: система цінностей, система знан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A75C2">
        <w:rPr>
          <w:rFonts w:ascii="Times New Roman" w:hAnsi="Times New Roman" w:cs="Times New Roman"/>
          <w:sz w:val="26"/>
          <w:szCs w:val="26"/>
        </w:rPr>
        <w:t xml:space="preserve">, система регулювання суспільних відносин і система естетичного виховання емоційної складової людини [4, с. 44-46]. Наука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EA75C2">
        <w:rPr>
          <w:rFonts w:ascii="Times New Roman" w:hAnsi="Times New Roman" w:cs="Times New Roman"/>
          <w:sz w:val="26"/>
          <w:szCs w:val="26"/>
        </w:rPr>
        <w:t>сих пір не враховує необхідність рівноправної взаємодії всіх цих складови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EA75C2">
        <w:rPr>
          <w:rFonts w:ascii="Times New Roman" w:hAnsi="Times New Roman" w:cs="Times New Roman"/>
          <w:sz w:val="26"/>
          <w:szCs w:val="26"/>
        </w:rPr>
        <w:t xml:space="preserve">культури як системотворчого чинника в організації суспільства. Як наслідок,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A75C2">
        <w:rPr>
          <w:rFonts w:ascii="Times New Roman" w:hAnsi="Times New Roman" w:cs="Times New Roman"/>
          <w:sz w:val="26"/>
          <w:szCs w:val="26"/>
        </w:rPr>
        <w:t>ри всіх вражаючих результатах науки, критерії її корисності, часто піддаються! сумніву. Особливо вражають «бунти проти розуму», на які свог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A75C2">
        <w:rPr>
          <w:rFonts w:ascii="Times New Roman" w:hAnsi="Times New Roman" w:cs="Times New Roman"/>
          <w:sz w:val="26"/>
          <w:szCs w:val="26"/>
        </w:rPr>
        <w:t xml:space="preserve">часу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A75C2">
        <w:rPr>
          <w:rFonts w:ascii="Times New Roman" w:hAnsi="Times New Roman" w:cs="Times New Roman"/>
          <w:sz w:val="26"/>
          <w:szCs w:val="26"/>
        </w:rPr>
        <w:t>вернув увагу К. Поппер [4, с. 84], і які відображають загальн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EA75C2">
        <w:rPr>
          <w:rFonts w:ascii="Times New Roman" w:hAnsi="Times New Roman" w:cs="Times New Roman"/>
          <w:sz w:val="26"/>
          <w:szCs w:val="26"/>
        </w:rPr>
        <w:t>тенден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EA75C2">
        <w:rPr>
          <w:rFonts w:ascii="Times New Roman" w:hAnsi="Times New Roman" w:cs="Times New Roman"/>
          <w:sz w:val="26"/>
          <w:szCs w:val="26"/>
        </w:rPr>
        <w:t xml:space="preserve">ію людства періодично розчаровуватися в науці. Це обумовлено </w:t>
      </w:r>
      <w:r>
        <w:rPr>
          <w:rFonts w:ascii="Times New Roman" w:hAnsi="Times New Roman" w:cs="Times New Roman"/>
          <w:sz w:val="26"/>
          <w:szCs w:val="26"/>
        </w:rPr>
        <w:t xml:space="preserve">як </w:t>
      </w:r>
    </w:p>
    <w:p w14:paraId="6EA0A300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138</w:t>
      </w:r>
    </w:p>
    <w:p w14:paraId="239A2453" w14:textId="77777777" w:rsidR="00A95A19" w:rsidRPr="00EA75C2" w:rsidRDefault="00A95A19" w:rsidP="00A95A19">
      <w:pPr>
        <w:tabs>
          <w:tab w:val="left" w:pos="1145"/>
          <w:tab w:val="left" w:pos="2397"/>
          <w:tab w:val="left" w:pos="479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влас</w:t>
      </w:r>
      <w:r>
        <w:rPr>
          <w:rFonts w:ascii="Times New Roman" w:hAnsi="Times New Roman" w:cs="Times New Roman"/>
          <w:sz w:val="26"/>
          <w:szCs w:val="26"/>
        </w:rPr>
        <w:t>ними</w:t>
      </w:r>
      <w:r w:rsidRPr="00EA75C2">
        <w:rPr>
          <w:rFonts w:ascii="Times New Roman" w:hAnsi="Times New Roman" w:cs="Times New Roman"/>
          <w:sz w:val="26"/>
          <w:szCs w:val="26"/>
        </w:rPr>
        <w:t xml:space="preserve"> прорахунками науки, так і флуктуаціями настроїв широкого загалу [З, с. 97],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5C2">
        <w:rPr>
          <w:rFonts w:ascii="Times New Roman" w:hAnsi="Times New Roman" w:cs="Times New Roman"/>
          <w:sz w:val="26"/>
          <w:szCs w:val="26"/>
        </w:rPr>
        <w:t>які нині</w:t>
      </w:r>
      <w:r w:rsidRPr="00EA75C2">
        <w:rPr>
          <w:rFonts w:ascii="Times New Roman" w:hAnsi="Times New Roman" w:cs="Times New Roman"/>
          <w:sz w:val="26"/>
          <w:szCs w:val="26"/>
        </w:rPr>
        <w:tab/>
        <w:t>піддаються особливо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5C2">
        <w:rPr>
          <w:rFonts w:ascii="Times New Roman" w:hAnsi="Times New Roman" w:cs="Times New Roman"/>
          <w:sz w:val="26"/>
          <w:szCs w:val="26"/>
        </w:rPr>
        <w:t>недобросовісним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5C2">
        <w:rPr>
          <w:rFonts w:ascii="Times New Roman" w:hAnsi="Times New Roman" w:cs="Times New Roman"/>
          <w:sz w:val="26"/>
          <w:szCs w:val="26"/>
        </w:rPr>
        <w:t>маніпуляціям. Оскільки природа таких коливань залишається незрозумілою, непрогнозованими можуть виявитися і можливі наслідки маніпуляцій.</w:t>
      </w:r>
    </w:p>
    <w:p w14:paraId="6B70383A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 xml:space="preserve">Сучасні науки про людину й суспільство, орієнтуючись на взаємозв’язок онтологічних, деонтологічних і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епістемологічних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аспектів системи знань, виходять з того, що науково обґрунтоване правове регулювання суспільних відносин має спиратися на дослідження законів соціальної і культурної динаміки, які, в свою чергу, мають враховувати обумовленість будь-яких фактичних даних і політико-правових рішень - обумовленістю суб’єктів дослідження і правотворчості - обставинами місця часу, включаючи їх освіту, світоглядні й політичні орієнтири, зрештою, індивідуальні мотивації.</w:t>
      </w:r>
    </w:p>
    <w:p w14:paraId="4B29EC20" w14:textId="77777777" w:rsidR="00A95A19" w:rsidRPr="00EA75C2" w:rsidRDefault="00A95A19" w:rsidP="00A95A1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У зв’язку з цим, для цих наук видається необхідним: по-перше, з’ясувати, які рушійні сили соціальної і культурної динаміки мають стихійну природу, а які є наслідком раціонально обґрунтованого і спланованого впливу; по-друге, якщо причиною стихійних соціальних рухів можуть бути як соціальні (світоглядна криза, економічне розшарування тощо), так і природні (зміни клімату, частоти сонячного випромінювання, сейсмічне напруження і т. д.) чинники, - необхідно виявити і обчислити вплив на людину і людство обох цих груп причин; по-третє, слід з’ясувати природу «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самоздійснюваних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пророцтв», тобто стихійно сформованих або цілеспрямовано організованих колективних очікувань, які, зрештою, втілюються в соціальних реаліях. Спираючись на ці знання, суспільство більш ефективно зможе розробляючи плани реформування і стратегії розвитку та їх правове забезпечення.</w:t>
      </w:r>
    </w:p>
    <w:p w14:paraId="22546690" w14:textId="77777777" w:rsidR="00A95A19" w:rsidRDefault="00A95A19" w:rsidP="00A95A19">
      <w:pPr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AEF5B1C" w14:textId="77777777" w:rsidR="00A95A19" w:rsidRPr="007778D7" w:rsidRDefault="00A95A19" w:rsidP="00A95A19">
      <w:pPr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778D7">
        <w:rPr>
          <w:rFonts w:ascii="Times New Roman" w:hAnsi="Times New Roman" w:cs="Times New Roman"/>
          <w:i/>
          <w:iCs/>
          <w:sz w:val="26"/>
          <w:szCs w:val="26"/>
        </w:rPr>
        <w:t>Література</w:t>
      </w:r>
    </w:p>
    <w:p w14:paraId="6B870EDF" w14:textId="77777777" w:rsidR="00A95A19" w:rsidRPr="00EA75C2" w:rsidRDefault="00A95A19" w:rsidP="00A95A19">
      <w:pPr>
        <w:tabs>
          <w:tab w:val="left" w:pos="575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1.</w:t>
      </w:r>
      <w:r w:rsidRPr="00EA75C2">
        <w:rPr>
          <w:rFonts w:ascii="Times New Roman" w:hAnsi="Times New Roman" w:cs="Times New Roman"/>
          <w:sz w:val="26"/>
          <w:szCs w:val="26"/>
        </w:rPr>
        <w:tab/>
        <w:t xml:space="preserve">Вебер М. Про деякі категорії соціології розуміння. В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. Соціологія.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Загальноісторичці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аналізи /пер. з нім. О. Погорілий. К.: Основи, 1998. С. 104- 157.</w:t>
      </w:r>
    </w:p>
    <w:p w14:paraId="375268B7" w14:textId="77777777" w:rsidR="00A95A19" w:rsidRPr="00EA75C2" w:rsidRDefault="00A95A19" w:rsidP="00A95A19">
      <w:pPr>
        <w:tabs>
          <w:tab w:val="left" w:pos="586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2.</w:t>
      </w:r>
      <w:r w:rsidRPr="00EA75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Радзівілл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О. А. Причини зростання соціальної ентропії і міжнародно- правові </w:t>
      </w:r>
      <w:r w:rsidRPr="00EA75C2">
        <w:rPr>
          <w:rFonts w:ascii="Times New Roman" w:hAnsi="Times New Roman" w:cs="Times New Roman"/>
          <w:sz w:val="26"/>
          <w:szCs w:val="26"/>
        </w:rPr>
        <w:lastRenderedPageBreak/>
        <w:t>засоби його стримування. Наук, вісник: економіка, право, політологія, туризм. Вип.2. Київ, 2010. С. 67-73.</w:t>
      </w:r>
    </w:p>
    <w:p w14:paraId="6F87F6F0" w14:textId="77777777" w:rsidR="00A95A19" w:rsidRPr="00EA75C2" w:rsidRDefault="00A95A19" w:rsidP="00A95A19">
      <w:pPr>
        <w:tabs>
          <w:tab w:val="left" w:pos="582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3.</w:t>
      </w:r>
      <w:r w:rsidRPr="00EA75C2">
        <w:rPr>
          <w:rFonts w:ascii="Times New Roman" w:hAnsi="Times New Roman" w:cs="Times New Roman"/>
          <w:sz w:val="26"/>
          <w:szCs w:val="26"/>
        </w:rPr>
        <w:tab/>
        <w:t xml:space="preserve">Пригожин И.,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Стенгерс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И. Порядок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хаоса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Новьій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диалог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человека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природой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/ пер. с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Ю.А.Данилова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>. М.: Прогресе, 1986.432 с.</w:t>
      </w:r>
    </w:p>
    <w:p w14:paraId="4E1959CF" w14:textId="77777777" w:rsidR="00A95A19" w:rsidRPr="00EA75C2" w:rsidRDefault="00A95A19" w:rsidP="00A95A19">
      <w:pPr>
        <w:tabs>
          <w:tab w:val="left" w:pos="647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4.</w:t>
      </w:r>
      <w:r w:rsidRPr="00EA75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Сорокин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П. А.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Социальная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культурная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динамика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 xml:space="preserve">. М.: </w:t>
      </w:r>
      <w:proofErr w:type="spellStart"/>
      <w:r w:rsidRPr="00EA75C2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EA75C2">
        <w:rPr>
          <w:rFonts w:ascii="Times New Roman" w:hAnsi="Times New Roman" w:cs="Times New Roman"/>
          <w:sz w:val="26"/>
          <w:szCs w:val="26"/>
        </w:rPr>
        <w:t>, 2006.</w:t>
      </w:r>
      <w:r>
        <w:rPr>
          <w:rFonts w:ascii="Times New Roman" w:hAnsi="Times New Roman" w:cs="Times New Roman"/>
          <w:sz w:val="26"/>
          <w:szCs w:val="26"/>
        </w:rPr>
        <w:t xml:space="preserve"> 1176 с. </w:t>
      </w:r>
    </w:p>
    <w:p w14:paraId="3D974785" w14:textId="77777777" w:rsidR="00A95A19" w:rsidRPr="00EA75C2" w:rsidRDefault="00A95A19" w:rsidP="00A95A19">
      <w:pPr>
        <w:tabs>
          <w:tab w:val="left" w:pos="593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5.</w:t>
      </w:r>
      <w:r w:rsidRPr="00EA75C2">
        <w:rPr>
          <w:rFonts w:ascii="Times New Roman" w:hAnsi="Times New Roman" w:cs="Times New Roman"/>
          <w:sz w:val="26"/>
          <w:szCs w:val="26"/>
        </w:rPr>
        <w:tab/>
        <w:t>Поппер К. Відкрите суспільство та його вороги. Т.2. Гегель, Маркс та інші оракули. К.: Основи, 1994. 494 с.</w:t>
      </w:r>
    </w:p>
    <w:p w14:paraId="6F9F93AD" w14:textId="77777777" w:rsidR="00A95A19" w:rsidRPr="00EA75C2" w:rsidRDefault="00A95A19" w:rsidP="00A95A19">
      <w:pPr>
        <w:spacing w:line="288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EA75C2">
        <w:rPr>
          <w:rFonts w:ascii="Times New Roman" w:hAnsi="Times New Roman" w:cs="Times New Roman"/>
          <w:sz w:val="26"/>
          <w:szCs w:val="26"/>
        </w:rPr>
        <w:t>139</w:t>
      </w:r>
    </w:p>
    <w:p w14:paraId="780FAD6A" w14:textId="77777777" w:rsidR="00541565" w:rsidRDefault="00541565"/>
    <w:sectPr w:rsidR="0054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19"/>
    <w:rsid w:val="00541565"/>
    <w:rsid w:val="00554513"/>
    <w:rsid w:val="00A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BA36"/>
  <w15:chartTrackingRefBased/>
  <w15:docId w15:val="{0FE985CA-C50A-424C-9022-546A5D8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2020-06-29T18:11:00Z</dcterms:created>
  <dcterms:modified xsi:type="dcterms:W3CDTF">2020-06-29T18:11:00Z</dcterms:modified>
</cp:coreProperties>
</file>