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8" w:rsidRDefault="00922508" w:rsidP="002E59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05612B">
        <w:rPr>
          <w:rFonts w:ascii="Times New Roman" w:hAnsi="Times New Roman" w:cs="Times New Roman"/>
          <w:sz w:val="28"/>
          <w:szCs w:val="28"/>
        </w:rPr>
        <w:t xml:space="preserve"> 347</w:t>
      </w:r>
      <w:r>
        <w:rPr>
          <w:rFonts w:ascii="Times New Roman" w:hAnsi="Times New Roman" w:cs="Times New Roman"/>
          <w:sz w:val="28"/>
          <w:szCs w:val="28"/>
        </w:rPr>
        <w:t>.4:629.735.33(043.2)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0561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2508" w:rsidRPr="0005612B" w:rsidRDefault="00922508" w:rsidP="002E59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2E599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Просяник Н.В.,</w:t>
      </w:r>
      <w:r w:rsidRPr="002E5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  <w:r w:rsidRPr="001725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725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2508" w:rsidRPr="00BC607F" w:rsidRDefault="00922508" w:rsidP="00BC60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607F">
        <w:rPr>
          <w:rFonts w:ascii="Times New Roman" w:hAnsi="Times New Roman" w:cs="Times New Roman"/>
          <w:sz w:val="28"/>
          <w:szCs w:val="28"/>
          <w:lang w:val="uk-UA"/>
        </w:rPr>
        <w:t>Юридичний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22508" w:rsidRPr="00BC607F" w:rsidRDefault="00922508" w:rsidP="00BC60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607F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, м.Київ</w:t>
      </w:r>
    </w:p>
    <w:p w:rsidR="00922508" w:rsidRDefault="00922508" w:rsidP="00BC60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607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ауковий керівник: Білоусов В.М., старший викладач</w:t>
      </w:r>
    </w:p>
    <w:p w:rsidR="00922508" w:rsidRPr="002E5992" w:rsidRDefault="00922508" w:rsidP="002E5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508" w:rsidRPr="002E5992" w:rsidRDefault="00922508" w:rsidP="002E5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5992">
        <w:rPr>
          <w:rFonts w:ascii="Times New Roman" w:hAnsi="Times New Roman" w:cs="Times New Roman"/>
          <w:sz w:val="28"/>
          <w:szCs w:val="28"/>
        </w:rPr>
        <w:t>ОСОБЛИВОСТІ ДОГОВОРУ</w:t>
      </w:r>
      <w:r w:rsidRPr="002E5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992">
        <w:rPr>
          <w:rFonts w:ascii="Times New Roman" w:hAnsi="Times New Roman" w:cs="Times New Roman"/>
          <w:sz w:val="28"/>
          <w:szCs w:val="28"/>
        </w:rPr>
        <w:t>НАЙМУ ПОВІТРЯНОГО</w:t>
      </w:r>
      <w:r w:rsidRPr="002E5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992">
        <w:rPr>
          <w:rFonts w:ascii="Times New Roman" w:hAnsi="Times New Roman" w:cs="Times New Roman"/>
          <w:sz w:val="28"/>
          <w:szCs w:val="28"/>
        </w:rPr>
        <w:t>СУДНА</w:t>
      </w:r>
    </w:p>
    <w:p w:rsidR="00922508" w:rsidRPr="002E5992" w:rsidRDefault="00922508" w:rsidP="003D7A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 (оренда) повітряного судна містить ряд особливостей порівняно із загальними положеннями про найм транспортних засобів. Предметом договору найму може виступати повітряне судно. Проте поняття повітряного судна є досить широким. Одне з визначень повітряного судна наводиться у п. 79 ч.1 ст.1 Повітряного кодексу України( далі – ПК України), де зазначено, що повітряне судно – це апарат, що підтримується в атмосфері у результаті його взаємодії з повітрям, відмінної від взаємодії з повітрям, відбитим від земної поверхні [1, с.312].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Повітряні судна поділяються на цивільні та державні. Повітряне судно є державним, якщо воно застосовується у військовій, митній та прикордонній службі, службі цивільного захисту, в органах внутрішніх справ. Вважаймо, що і цивільні, і державні судна, можуть бути предметом договору найму, оскільки на нормативному рівні не встановлено обмежень щодо можливостей передачі цих суден в оренду.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Повітряні судна, які відносяться до бойової та спеціальної військової техніки, не можуть перебувати у власності громадян, громадських об’єднань, міжнародних організації та юридичних осіб інших держав на території України. Слід зауважити наступне, шо у нормативних актах немає жодної згадки про те, що вищесказані об’єкти  не можуть перебувати у користуванні фізичних і юридичних осіб, тобто вони теж можуть бути предметом договору найму транспортного засобу.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положень Цивільного кодексу України (далі – ЦК України) предметом договору найму транспортного засобу виступає повітряне судно, різновидами якого є літаки, вертольоти, планери, дельтаплани тощо. Ці ж повітряні судна за технічними характеристиками можуть бути звичайними, легкими, дуже легкими, надлегкими тощо. Це ж,  в свою чергу, зумовлює вимоги щодо кількості осіб, які необхідні для експлуатації повітряного судна певного виду, зокрема, надлегке або легке повітряне судно містить максимум два місця, включаючи пілота [2, с.216 ].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Натомість літак для обслуговування потребує екіпажу в кількості, визначеній технічними характеристиками , а це може становити від трьох до десятків осіб. Тому висновком цього є те, що надлегким та легким повітряними суднами може керувати і сам орендар -  фізична особа, яка має свідоцтво пілота, дотримуючись при використанні повітряного судна і публічно – правових норм щодо безпеки використання повітряного простору; орендар – юридична особа також за наявності осіб, які мають свідоцтво пілота (уклавши з ними трудовий чи цивільно – правовий договір), може використовувати самостійно вищесказані повітряні судна. Натомість використання літака (в тому числі на умовах оренди) можливе лише за наявності статусу експлуатанта. 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мою думку, орендарем повітряного судна можу бути як фізична особа (незалежно від наявності у неї статусу суб’єкта підприємницької діяльності),  так і юридична особа (незалежно від наявності у неї статусу експлуатанта) Слід виокремити те що, в даних правовідносинах орендар не наділений специфічним статусом.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повітряного судна наділене рядом особливостей. Ці особливості зумовлені тим, що використання певних видів повітряних суден без екіпажу є неможливим. ЦК України у ст. 805 визначає певні особливості найму транспортного засобу з екіпажем, який його обслуговує. Ці особливості поширюються на відносини найму з екіпажем всіх транспортних засобів, в тому числі і повітряних суден [2, с.231].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Виділяють різні види оренди залежно від того, чий екіпаж обслуговуватиме орендоване повітряне судно. Зокрема, за цим критерієм розрізняють наступні види договору оренди повітряного судна: суха, мокра та комбінована [3, с.672].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«Суха» оренда (</w:t>
      </w:r>
      <w:r>
        <w:rPr>
          <w:rFonts w:ascii="Times New Roman" w:hAnsi="Times New Roman" w:cs="Times New Roman"/>
          <w:sz w:val="28"/>
          <w:szCs w:val="28"/>
          <w:lang w:val="en-US"/>
        </w:rPr>
        <w:t>Dry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lease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оренда повітряного судна без екіпажу орендодавця з метою експлуатації повітряного судна на підставі Сертифіката експлуатанта  - орендаря. У цьому разі видача Сертифіката експлуатанта в  Україні здійснюється згідно з Правилами сертифікації експлуатантів.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«Мокра» оренда (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Wet –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lease)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оренда повітряного судна з екіпажем експлуатанта, який здає в оренду повітряне судно з метою експлуатації повітряного судна на підставі Сертифіката експлуатанта – орендодавця.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«Комбінована» оренда (</w:t>
      </w:r>
      <w:r>
        <w:rPr>
          <w:rFonts w:ascii="Times New Roman" w:hAnsi="Times New Roman" w:cs="Times New Roman"/>
          <w:sz w:val="28"/>
          <w:szCs w:val="28"/>
          <w:lang w:val="en-US"/>
        </w:rPr>
        <w:t>Damp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lease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оренда повітряного судна за умов, коли екіпаж складається з льотного персоналу орендодавця і орендаря, при цьому експлуатація повітряного судна на підставі Сертифіката експлуатанта  - орендодавця.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Також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луговує на увагу такий різновид оренди повітряного судна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за яким відбувається взаємн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обмін повітряними суднами на певний строк взаємна оренда. 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відносини найму оренди повітря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ного судна врегульовані багатьма нормативно-правовими актами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Водночас немає сист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емного правового регулювання цих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Багато положень чинного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давства містяться у численних підзаконних нормативно-правових актах, які нерідко по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різному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регульовують відносини найму повітряного судна,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а часто прямо суперечать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вимогам цивільного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508" w:rsidRDefault="00922508" w:rsidP="002E59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508" w:rsidRDefault="00922508" w:rsidP="0004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922508" w:rsidRDefault="00922508" w:rsidP="009E32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F2A">
        <w:rPr>
          <w:rFonts w:ascii="Times New Roman" w:hAnsi="Times New Roman" w:cs="Times New Roman"/>
          <w:sz w:val="28"/>
          <w:szCs w:val="28"/>
          <w:lang w:val="uk-UA"/>
        </w:rPr>
        <w:t>Повітряний кодекс України від 19.05.2011 р. // Відомості. Верховної Ради України. – 2011. – № 48-49. – Ст. 536.</w:t>
      </w:r>
      <w:r w:rsidRPr="009E32AE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від 1 вересня 2014 </w:t>
      </w:r>
      <w:r w:rsidRPr="009E32AE">
        <w:rPr>
          <w:rFonts w:ascii="Times New Roman" w:hAnsi="Times New Roman" w:cs="Times New Roman"/>
          <w:sz w:val="28"/>
          <w:szCs w:val="28"/>
          <w:lang w:val="uk-UA"/>
        </w:rPr>
        <w:t>року № 435-IV /</w:t>
      </w:r>
      <w:r>
        <w:rPr>
          <w:rFonts w:ascii="Times New Roman" w:hAnsi="Times New Roman" w:cs="Times New Roman"/>
          <w:sz w:val="28"/>
          <w:szCs w:val="28"/>
          <w:lang w:val="uk-UA"/>
        </w:rPr>
        <w:t>/ Відомості Верховної Ради, 2014, №№ 40-44. – 356 с.</w:t>
      </w:r>
    </w:p>
    <w:p w:rsidR="00922508" w:rsidRPr="00E46E00" w:rsidRDefault="00922508" w:rsidP="007B7C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2AE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України: Коментар / За заг. ред. Є. О. Харитонова, О. М. Калітенко. —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Одеса: Юридична література, 2013</w:t>
      </w:r>
      <w:r w:rsidRPr="009E32AE">
        <w:rPr>
          <w:rFonts w:ascii="Times New Roman" w:hAnsi="Times New Roman" w:cs="Times New Roman"/>
          <w:sz w:val="28"/>
          <w:szCs w:val="28"/>
          <w:lang w:val="uk-UA"/>
        </w:rPr>
        <w:t>. — 1112 с.</w:t>
      </w:r>
    </w:p>
    <w:sectPr w:rsidR="00922508" w:rsidRPr="00E46E00" w:rsidSect="002E5992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08" w:rsidRDefault="00922508" w:rsidP="009E32AE">
      <w:pPr>
        <w:spacing w:after="0" w:line="240" w:lineRule="auto"/>
      </w:pPr>
      <w:r>
        <w:separator/>
      </w:r>
    </w:p>
  </w:endnote>
  <w:endnote w:type="continuationSeparator" w:id="0">
    <w:p w:rsidR="00922508" w:rsidRDefault="00922508" w:rsidP="009E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08" w:rsidRDefault="00922508">
    <w:pPr>
      <w:pStyle w:val="Footer"/>
      <w:jc w:val="center"/>
    </w:pPr>
  </w:p>
  <w:p w:rsidR="00922508" w:rsidRDefault="00922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08" w:rsidRDefault="00922508" w:rsidP="009E32AE">
      <w:pPr>
        <w:spacing w:after="0" w:line="240" w:lineRule="auto"/>
      </w:pPr>
      <w:r>
        <w:separator/>
      </w:r>
    </w:p>
  </w:footnote>
  <w:footnote w:type="continuationSeparator" w:id="0">
    <w:p w:rsidR="00922508" w:rsidRDefault="00922508" w:rsidP="009E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DD9"/>
    <w:multiLevelType w:val="hybridMultilevel"/>
    <w:tmpl w:val="052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5E"/>
    <w:rsid w:val="0004319D"/>
    <w:rsid w:val="0005612B"/>
    <w:rsid w:val="000D47D6"/>
    <w:rsid w:val="000D5F83"/>
    <w:rsid w:val="00172579"/>
    <w:rsid w:val="001847D3"/>
    <w:rsid w:val="002E5992"/>
    <w:rsid w:val="00316F2A"/>
    <w:rsid w:val="003478C5"/>
    <w:rsid w:val="003D02F2"/>
    <w:rsid w:val="003D7AE9"/>
    <w:rsid w:val="00453CBE"/>
    <w:rsid w:val="004740F0"/>
    <w:rsid w:val="005207F8"/>
    <w:rsid w:val="005868DB"/>
    <w:rsid w:val="006315DD"/>
    <w:rsid w:val="0070307D"/>
    <w:rsid w:val="007B7C2C"/>
    <w:rsid w:val="007F30DD"/>
    <w:rsid w:val="0087075E"/>
    <w:rsid w:val="008A48E9"/>
    <w:rsid w:val="00922508"/>
    <w:rsid w:val="009A776B"/>
    <w:rsid w:val="009E32AE"/>
    <w:rsid w:val="00A72137"/>
    <w:rsid w:val="00A9602E"/>
    <w:rsid w:val="00B82464"/>
    <w:rsid w:val="00BC607F"/>
    <w:rsid w:val="00CC3C6C"/>
    <w:rsid w:val="00D61945"/>
    <w:rsid w:val="00D67036"/>
    <w:rsid w:val="00E00464"/>
    <w:rsid w:val="00E46E00"/>
    <w:rsid w:val="00EF3EF4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2F2"/>
    <w:pPr>
      <w:ind w:left="720"/>
    </w:pPr>
  </w:style>
  <w:style w:type="paragraph" w:styleId="Header">
    <w:name w:val="header"/>
    <w:basedOn w:val="Normal"/>
    <w:link w:val="HeaderChar"/>
    <w:uiPriority w:val="99"/>
    <w:rsid w:val="009E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2AE"/>
  </w:style>
  <w:style w:type="paragraph" w:styleId="Footer">
    <w:name w:val="footer"/>
    <w:basedOn w:val="Normal"/>
    <w:link w:val="FooterChar"/>
    <w:uiPriority w:val="99"/>
    <w:rsid w:val="009E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834</Words>
  <Characters>4760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15</cp:revision>
  <cp:lastPrinted>2014-09-28T18:24:00Z</cp:lastPrinted>
  <dcterms:created xsi:type="dcterms:W3CDTF">2014-09-27T11:08:00Z</dcterms:created>
  <dcterms:modified xsi:type="dcterms:W3CDTF">2014-10-07T11:26:00Z</dcterms:modified>
</cp:coreProperties>
</file>