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7FC" w:rsidRPr="00E80A6D" w:rsidRDefault="00811159" w:rsidP="00811159">
      <w:pPr>
        <w:jc w:val="center"/>
        <w:rPr>
          <w:rFonts w:ascii="Times New Roman" w:hAnsi="Times New Roman" w:cs="Times New Roman"/>
          <w:sz w:val="28"/>
          <w:szCs w:val="28"/>
        </w:rPr>
      </w:pPr>
      <w:bookmarkStart w:id="0" w:name="_GoBack"/>
      <w:r w:rsidRPr="00E80A6D">
        <w:rPr>
          <w:rFonts w:ascii="Times New Roman" w:hAnsi="Times New Roman" w:cs="Times New Roman"/>
          <w:sz w:val="28"/>
          <w:szCs w:val="28"/>
        </w:rPr>
        <w:t>Соціальні мережі та неформальні практики у політичному дизайні пострадянських суспільств</w:t>
      </w:r>
    </w:p>
    <w:p w:rsidR="00811159" w:rsidRPr="00E80A6D" w:rsidRDefault="00811159" w:rsidP="00811159">
      <w:pPr>
        <w:jc w:val="right"/>
        <w:rPr>
          <w:rFonts w:ascii="Times New Roman" w:hAnsi="Times New Roman" w:cs="Times New Roman"/>
          <w:sz w:val="28"/>
          <w:szCs w:val="28"/>
        </w:rPr>
      </w:pPr>
      <w:r w:rsidRPr="00E80A6D">
        <w:rPr>
          <w:rFonts w:ascii="Times New Roman" w:hAnsi="Times New Roman" w:cs="Times New Roman"/>
          <w:sz w:val="28"/>
          <w:szCs w:val="28"/>
        </w:rPr>
        <w:t>Людмила Лясота,</w:t>
      </w:r>
    </w:p>
    <w:p w:rsidR="00811159" w:rsidRPr="00E80A6D" w:rsidRDefault="00811159" w:rsidP="00811159">
      <w:pPr>
        <w:jc w:val="right"/>
        <w:rPr>
          <w:rFonts w:ascii="Times New Roman" w:hAnsi="Times New Roman" w:cs="Times New Roman"/>
          <w:sz w:val="28"/>
          <w:szCs w:val="28"/>
        </w:rPr>
      </w:pPr>
      <w:r w:rsidRPr="00E80A6D">
        <w:rPr>
          <w:rFonts w:ascii="Times New Roman" w:hAnsi="Times New Roman" w:cs="Times New Roman"/>
          <w:sz w:val="28"/>
          <w:szCs w:val="28"/>
        </w:rPr>
        <w:t>кандидат політичних наук,</w:t>
      </w:r>
    </w:p>
    <w:p w:rsidR="00811159" w:rsidRPr="00E80A6D" w:rsidRDefault="00811159" w:rsidP="00811159">
      <w:pPr>
        <w:jc w:val="right"/>
        <w:rPr>
          <w:rFonts w:ascii="Times New Roman" w:hAnsi="Times New Roman" w:cs="Times New Roman"/>
          <w:sz w:val="28"/>
          <w:szCs w:val="28"/>
        </w:rPr>
      </w:pPr>
      <w:r w:rsidRPr="00E80A6D">
        <w:rPr>
          <w:rFonts w:ascii="Times New Roman" w:hAnsi="Times New Roman" w:cs="Times New Roman"/>
          <w:sz w:val="28"/>
          <w:szCs w:val="28"/>
        </w:rPr>
        <w:t>провідний науковий співробітник</w:t>
      </w:r>
    </w:p>
    <w:p w:rsidR="00811159" w:rsidRPr="00E80A6D" w:rsidRDefault="00811159" w:rsidP="00811159">
      <w:pPr>
        <w:jc w:val="right"/>
        <w:rPr>
          <w:rFonts w:ascii="Times New Roman" w:hAnsi="Times New Roman" w:cs="Times New Roman"/>
          <w:sz w:val="28"/>
          <w:szCs w:val="28"/>
        </w:rPr>
      </w:pPr>
      <w:r w:rsidRPr="00E80A6D">
        <w:rPr>
          <w:rFonts w:ascii="Times New Roman" w:hAnsi="Times New Roman" w:cs="Times New Roman"/>
          <w:sz w:val="28"/>
          <w:szCs w:val="28"/>
        </w:rPr>
        <w:t>Національного інституту стратегічних досліджень</w:t>
      </w:r>
    </w:p>
    <w:p w:rsidR="00811159" w:rsidRPr="00E80A6D" w:rsidRDefault="00811159" w:rsidP="00811159">
      <w:pPr>
        <w:jc w:val="right"/>
        <w:rPr>
          <w:rFonts w:ascii="Times New Roman" w:hAnsi="Times New Roman" w:cs="Times New Roman"/>
          <w:sz w:val="28"/>
          <w:szCs w:val="28"/>
        </w:rPr>
      </w:pPr>
    </w:p>
    <w:p w:rsidR="00811159" w:rsidRPr="00E80A6D" w:rsidRDefault="00811159" w:rsidP="00E80A6D">
      <w:pPr>
        <w:ind w:firstLine="709"/>
        <w:jc w:val="both"/>
        <w:rPr>
          <w:rFonts w:ascii="Times New Roman" w:hAnsi="Times New Roman" w:cs="Times New Roman"/>
          <w:sz w:val="28"/>
          <w:szCs w:val="28"/>
        </w:rPr>
      </w:pPr>
      <w:r w:rsidRPr="00E80A6D">
        <w:rPr>
          <w:rFonts w:ascii="Times New Roman" w:hAnsi="Times New Roman" w:cs="Times New Roman"/>
          <w:sz w:val="28"/>
          <w:szCs w:val="28"/>
        </w:rPr>
        <w:t>Проблемним полем сучасних транзитологічних досліджень стало вивчення різних траєкторій розвитку поставторитарних суспільств. Йдеться про широкий спектр результатів політичних трансформацій – від консолідації ліберальних демократій до появи „гібридних” суспільств і до цілком сформованих різновидів нового авторитаризму. Аналітики вважають, що в багатьох суспільствах пострадянського простору формальні демократичні інститути часто й ефективно використовуються як фасад для реалізації недемократичних „правил гри” і неінституційованих владних відносин. Тіньові практики стали поширеним явищем. Лише останнім часом їх почали аналізувати за структурним, інституціональним, соціокультурним та іншими підходами [1, с. 27]</w:t>
      </w:r>
    </w:p>
    <w:p w:rsidR="00811159" w:rsidRPr="00E80A6D" w:rsidRDefault="00811159" w:rsidP="00E80A6D">
      <w:pPr>
        <w:ind w:firstLine="709"/>
        <w:jc w:val="both"/>
        <w:rPr>
          <w:rFonts w:ascii="Times New Roman" w:hAnsi="Times New Roman" w:cs="Times New Roman"/>
          <w:sz w:val="28"/>
          <w:szCs w:val="28"/>
        </w:rPr>
      </w:pPr>
      <w:r w:rsidRPr="00E80A6D">
        <w:rPr>
          <w:rFonts w:ascii="Times New Roman" w:hAnsi="Times New Roman" w:cs="Times New Roman"/>
          <w:sz w:val="28"/>
          <w:szCs w:val="28"/>
        </w:rPr>
        <w:t xml:space="preserve">У межах раціонального інституціонального підходу увага акцентується на тому, що панування неформальних практик значною мірою обумовлювалося слабкістю інституціонального дизайну відповідних країн і вадами інституціонального будівництва. Домінування неформальних інститутів над формальними зумовлюється інтересами учасників процесу інституціонального будівництва, „раціональними діями” акторів, які мали можливість нав’язати свої правила гри [2, с. 21 </w:t>
      </w:r>
      <w:r w:rsidRPr="00E80A6D">
        <w:rPr>
          <w:rFonts w:ascii="Times New Roman" w:hAnsi="Times New Roman" w:cs="Times New Roman"/>
          <w:sz w:val="28"/>
          <w:szCs w:val="28"/>
        </w:rPr>
        <w:t> 24]. Аналізуючи цю проблему, В. Гельман наполягає на тому, що еволюція інститутів на початковій стадії реформ багато в чому зумовлювалася не тільки інтересами акторів, але й прикладною ідеологією, яка виконувала роль фільтра для опрацювання необхідної інформації про дії інших акторів і</w:t>
      </w:r>
      <w:r w:rsidRPr="00E80A6D">
        <w:rPr>
          <w:rFonts w:ascii="Times New Roman" w:hAnsi="Times New Roman" w:cs="Times New Roman"/>
          <w:sz w:val="28"/>
          <w:szCs w:val="28"/>
        </w:rPr>
        <w:t xml:space="preserve"> </w:t>
      </w:r>
      <w:r w:rsidRPr="00E80A6D">
        <w:rPr>
          <w:rFonts w:ascii="Times New Roman" w:hAnsi="Times New Roman" w:cs="Times New Roman"/>
          <w:sz w:val="28"/>
          <w:szCs w:val="28"/>
        </w:rPr>
        <w:t xml:space="preserve">допомагала виносити певні судження щодо відповідності інститутів їх нормативним уявленням. Нові, недосконалі формальні інститути на стадії свого утворення мали безліч лакун, які легко заповнювалися неформальними інститутами завдяки активності акторів. Деякі з цих інститутів у ході реформування було зліквідовано, але інші, що продемонстрували свої переваги для тих чи тих акторів, вкорінилися, а відтак практика деформалізації правил стала рутиною [3, с. 12 </w:t>
      </w:r>
      <w:r w:rsidRPr="00E80A6D">
        <w:rPr>
          <w:rFonts w:ascii="Times New Roman" w:hAnsi="Times New Roman" w:cs="Times New Roman"/>
          <w:sz w:val="28"/>
          <w:szCs w:val="28"/>
        </w:rPr>
        <w:t> 14]. Інституціональний аналіз посідає центральне місце в методологічному арсеналі сучасної політичної науки. Але остаточне пояснення деяких соціально</w:t>
      </w:r>
      <w:r w:rsidRPr="00E80A6D">
        <w:rPr>
          <w:rFonts w:ascii="Times New Roman" w:hAnsi="Times New Roman" w:cs="Times New Roman"/>
          <w:sz w:val="28"/>
          <w:szCs w:val="28"/>
        </w:rPr>
        <w:t xml:space="preserve">політичних феноменів потребує глибшого </w:t>
      </w:r>
      <w:r w:rsidRPr="00E80A6D">
        <w:rPr>
          <w:rFonts w:ascii="Times New Roman" w:hAnsi="Times New Roman" w:cs="Times New Roman"/>
          <w:sz w:val="28"/>
          <w:szCs w:val="28"/>
        </w:rPr>
        <w:lastRenderedPageBreak/>
        <w:t>аналізу саме сфери взаємовідносин системних акторів. Згідно з інституціональною теорією, природа неформальних практик формується завдяки егоїстичному інтересу акторів, дії яких спрямовані на максимізацію прибутку. При цьому імпліцитно передбачається, що актори володіють вичерпною інформацією і можуть прораховувати наслідки своїх та чужих дій, всі можливі альтернативи. Помилковість такого припущення була доведена ще в теорії обмеженої раціональності Г. Саймона (1957 р.) [4]</w:t>
      </w:r>
    </w:p>
    <w:p w:rsidR="00811159" w:rsidRPr="00E80A6D" w:rsidRDefault="00811159" w:rsidP="00E80A6D">
      <w:pPr>
        <w:ind w:firstLine="709"/>
        <w:jc w:val="both"/>
        <w:rPr>
          <w:rFonts w:ascii="Times New Roman" w:hAnsi="Times New Roman" w:cs="Times New Roman"/>
          <w:sz w:val="28"/>
          <w:szCs w:val="28"/>
        </w:rPr>
      </w:pPr>
      <w:r w:rsidRPr="00E80A6D">
        <w:rPr>
          <w:rFonts w:ascii="Times New Roman" w:hAnsi="Times New Roman" w:cs="Times New Roman"/>
          <w:sz w:val="28"/>
          <w:szCs w:val="28"/>
        </w:rPr>
        <w:t>Для з’ясування природи неформальних практик, варіацій політичної поведінки у трансформаційних суспільствах доцільно звернутися до додаткових параметрів, а саме – до аналізу особливостей соціальних контактів у політичній сфері, які формують структури мережевих взаємодій. Соціальні мережі є компонентами середовища, в якому діють політичні інститути; ці мережі відіграють значну роль як визначник відмінностей між інституціонально близькими і навіть ідентичними суспільствами. Мережевий підхід є гнучкішим інструментом, ніж інституціональний. Він виходить за межі локальних порядків. Узгодження практик у мережах здійснюється на основі принципів міжособистісних відносин, а зв’язки в них більш усталені, ніж інституціональні порядки.</w:t>
      </w:r>
    </w:p>
    <w:p w:rsidR="00811159" w:rsidRPr="00E80A6D" w:rsidRDefault="00811159" w:rsidP="00E80A6D">
      <w:pPr>
        <w:ind w:firstLine="709"/>
        <w:jc w:val="both"/>
        <w:rPr>
          <w:rFonts w:ascii="Times New Roman" w:hAnsi="Times New Roman" w:cs="Times New Roman"/>
          <w:sz w:val="28"/>
          <w:szCs w:val="28"/>
        </w:rPr>
      </w:pPr>
      <w:r w:rsidRPr="00E80A6D">
        <w:rPr>
          <w:rFonts w:ascii="Times New Roman" w:hAnsi="Times New Roman" w:cs="Times New Roman"/>
          <w:sz w:val="28"/>
          <w:szCs w:val="28"/>
        </w:rPr>
        <w:t>Мережеві структури первинні відносно інститутів. Це означає, що при достатньому поширенні мережі і наявності легітимізуючого принципу мережеве утворення може „перерости” в інститут. Учасники політичних чи економічних трансакцій, які утворюють мережу, розгортають свою діяльність в умовах вже існуючих інституціональних порядків, які відтворюють у своїх діях чинні інститути, одночасно утворюючи нові принципи регулювання. Отже, здійснюється інституціоналізація нової структури. Тобто, утворена мережа може змінюватися під впливом зовнішнього інституціонального середовища або сама перетворюватися на інституціональне утворення. В будь</w:t>
      </w:r>
      <w:r w:rsidRPr="00E80A6D">
        <w:rPr>
          <w:rFonts w:ascii="Times New Roman" w:hAnsi="Times New Roman" w:cs="Times New Roman"/>
          <w:sz w:val="28"/>
          <w:szCs w:val="28"/>
        </w:rPr>
        <w:t>якому такому утворенні можна знайти елементи мережі, як і в будь</w:t>
      </w:r>
      <w:r w:rsidRPr="00E80A6D">
        <w:rPr>
          <w:rFonts w:ascii="Times New Roman" w:hAnsi="Times New Roman" w:cs="Times New Roman"/>
          <w:sz w:val="28"/>
          <w:szCs w:val="28"/>
        </w:rPr>
        <w:t>якій мережі можна знайти елементи інституціональних порядків. Саме мережеві відносини сприяють боротьбі з невизначеністю, стають на заваді поширенню опортунізму, дозволяють здійснювати успішні економічні й політичні трансакції в умовах обмеженої раціональності акторів</w:t>
      </w:r>
    </w:p>
    <w:p w:rsidR="00811159" w:rsidRPr="00E80A6D" w:rsidRDefault="00811159" w:rsidP="00E80A6D">
      <w:pPr>
        <w:ind w:firstLine="709"/>
        <w:jc w:val="both"/>
        <w:rPr>
          <w:rFonts w:ascii="Times New Roman" w:hAnsi="Times New Roman" w:cs="Times New Roman"/>
          <w:sz w:val="28"/>
          <w:szCs w:val="28"/>
        </w:rPr>
      </w:pPr>
      <w:r w:rsidRPr="00E80A6D">
        <w:rPr>
          <w:rFonts w:ascii="Times New Roman" w:hAnsi="Times New Roman" w:cs="Times New Roman"/>
          <w:sz w:val="28"/>
          <w:szCs w:val="28"/>
        </w:rPr>
        <w:t>Метою статті є з’ясування ролі мережевих структур у формуванні неформальних практик у політичному просторі трансформаційних суспільств</w:t>
      </w:r>
    </w:p>
    <w:p w:rsidR="00811159" w:rsidRPr="00E80A6D" w:rsidRDefault="00811159" w:rsidP="00E80A6D">
      <w:pPr>
        <w:ind w:firstLine="709"/>
        <w:jc w:val="both"/>
        <w:rPr>
          <w:rFonts w:ascii="Times New Roman" w:hAnsi="Times New Roman" w:cs="Times New Roman"/>
          <w:sz w:val="28"/>
          <w:szCs w:val="28"/>
        </w:rPr>
      </w:pPr>
      <w:r w:rsidRPr="00E80A6D">
        <w:rPr>
          <w:rFonts w:ascii="Times New Roman" w:hAnsi="Times New Roman" w:cs="Times New Roman"/>
          <w:sz w:val="28"/>
          <w:szCs w:val="28"/>
        </w:rPr>
        <w:t>Хоча в теорії соціальних мереж поняття „інститути” відіграє значну роль, але не вони, а зв’язки та відносини перебувають у фокусі її досліджень. У найширшому сенсі мережа – це розширена група людей зі схожими інтересами, які взаємодіють та підтримують неформальні контакти задля взаємопідтримки</w:t>
      </w:r>
    </w:p>
    <w:p w:rsidR="00811159" w:rsidRPr="00E80A6D" w:rsidRDefault="00811159" w:rsidP="00E80A6D">
      <w:pPr>
        <w:ind w:firstLine="709"/>
        <w:jc w:val="both"/>
        <w:rPr>
          <w:rFonts w:ascii="Times New Roman" w:hAnsi="Times New Roman" w:cs="Times New Roman"/>
          <w:sz w:val="28"/>
          <w:szCs w:val="28"/>
        </w:rPr>
      </w:pPr>
      <w:r w:rsidRPr="00E80A6D">
        <w:rPr>
          <w:rFonts w:ascii="Times New Roman" w:hAnsi="Times New Roman" w:cs="Times New Roman"/>
          <w:sz w:val="28"/>
          <w:szCs w:val="28"/>
        </w:rPr>
        <w:t xml:space="preserve">За соціологічним підходом, мережа „складається з акторів та їх відносин, а також певних дій і ресурсів та залежностей між ними” [5]. Основні компоненти мережі – структура і ресурси. Структурний компонент </w:t>
      </w:r>
      <w:r w:rsidRPr="00E80A6D">
        <w:rPr>
          <w:rFonts w:ascii="Times New Roman" w:hAnsi="Times New Roman" w:cs="Times New Roman"/>
          <w:sz w:val="28"/>
          <w:szCs w:val="28"/>
        </w:rPr>
        <w:t xml:space="preserve"> це певна конфігурація акторів і обумовлені нею зв’язки. Ресурсний компонент </w:t>
      </w:r>
      <w:r w:rsidRPr="00E80A6D">
        <w:rPr>
          <w:rFonts w:ascii="Times New Roman" w:hAnsi="Times New Roman" w:cs="Times New Roman"/>
          <w:sz w:val="28"/>
          <w:szCs w:val="28"/>
        </w:rPr>
        <w:t> це ресурси, якими обмінюються, і які зрештою призводять до диференціації позицій. В соціальній мережі можна виокремити й реляційну форму, яка означає інтенсивність і силу зв’язків, рівень взаємного залучення до спільної діяльності</w:t>
      </w:r>
    </w:p>
    <w:p w:rsidR="00811159" w:rsidRPr="00E80A6D" w:rsidRDefault="00811159" w:rsidP="00E80A6D">
      <w:pPr>
        <w:ind w:firstLine="709"/>
        <w:jc w:val="both"/>
        <w:rPr>
          <w:rFonts w:ascii="Times New Roman" w:hAnsi="Times New Roman" w:cs="Times New Roman"/>
          <w:sz w:val="28"/>
          <w:szCs w:val="28"/>
        </w:rPr>
      </w:pPr>
      <w:r w:rsidRPr="00E80A6D">
        <w:rPr>
          <w:rFonts w:ascii="Times New Roman" w:hAnsi="Times New Roman" w:cs="Times New Roman"/>
          <w:sz w:val="28"/>
          <w:szCs w:val="28"/>
        </w:rPr>
        <w:t>У багатьох працях, виконаних у межах цього підходу, підкреслюється, що ідеї, вірування, цінності та консенсуальне знання забезпечують пояснювальні можливості при вивченні соціальної мережі. Ці елементи конструюють також логіку взаємозв’язку між їх членами. З точки зору концепції згуртованості, соціальні мережі – це сукупність відносин, принципів і практик дії за цими принципами. Відносини і дії, якими вони продукуються, передбачають, передусім, те, що інші агенти діятимуть певним чином, причому їх дії не обов’язково підкріплюватимуться санкціями, вони можуть базуватися лише на принципі довіри [6, с. 332]. Тобто, мережевий світ існує завдяки вкоріненості у мережах міжособистісних відносин, породжуваних відносинами довіри.</w:t>
      </w:r>
    </w:p>
    <w:p w:rsidR="00811159" w:rsidRPr="00E80A6D" w:rsidRDefault="00811159" w:rsidP="00E80A6D">
      <w:pPr>
        <w:ind w:firstLine="709"/>
        <w:jc w:val="both"/>
        <w:rPr>
          <w:rFonts w:ascii="Times New Roman" w:hAnsi="Times New Roman" w:cs="Times New Roman"/>
          <w:sz w:val="28"/>
          <w:szCs w:val="28"/>
        </w:rPr>
      </w:pPr>
      <w:r w:rsidRPr="00E80A6D">
        <w:rPr>
          <w:rFonts w:ascii="Times New Roman" w:hAnsi="Times New Roman" w:cs="Times New Roman"/>
          <w:sz w:val="28"/>
          <w:szCs w:val="28"/>
        </w:rPr>
        <w:t>Поняття довіри ключове для розуміння функціонування соціальної мережі. Довіра сприяє утворенню особливого феномена – соціального капіталу. Поняття „соціальний капітал” ввели у науковий дискурс П. Бурдьє, Г. Лоурі, Дж. Коулмен, Р. Патнем і Ф. Фукуяма. На думку Р. Патнема, соціальний капітал нагромаджується в нормах взаємності міжособистісних відносин саме в горизонтальних мережах та зв’язках суспільної активності. Вчений акцентує увагу на відмінностях горизонтальних зв’язків співробітництва, кооперації та взаємної добровільної відповідальності від вертикальних суспільних відносин ієрархії, підкорення і залежності [7, с. 204]. П. Бурдьє визначав соціальний капітал як „ресурси, засновані на родинних відносинах та відносинах у групі членства, які є необхідними та передбачають тривалі суб’єктивно</w:t>
      </w:r>
      <w:r w:rsidRPr="00E80A6D">
        <w:rPr>
          <w:rFonts w:ascii="Times New Roman" w:hAnsi="Times New Roman" w:cs="Times New Roman"/>
          <w:sz w:val="28"/>
          <w:szCs w:val="28"/>
        </w:rPr>
        <w:t xml:space="preserve"> емоційні зобов’язання – почуття вдячності, поваги, дружби тощо” [8, с. 249 </w:t>
      </w:r>
      <w:r w:rsidRPr="00E80A6D">
        <w:rPr>
          <w:rFonts w:ascii="Times New Roman" w:hAnsi="Times New Roman" w:cs="Times New Roman"/>
          <w:sz w:val="28"/>
          <w:szCs w:val="28"/>
        </w:rPr>
        <w:t> 250]. За Дж. Коулменом, соціальний капітал – це потенціал взаємної довіри і взаємодопомоги, що цілераціонально формується в</w:t>
      </w:r>
      <w:r w:rsidRPr="00E80A6D">
        <w:rPr>
          <w:rFonts w:ascii="Times New Roman" w:hAnsi="Times New Roman" w:cs="Times New Roman"/>
          <w:sz w:val="28"/>
          <w:szCs w:val="28"/>
        </w:rPr>
        <w:t xml:space="preserve"> </w:t>
      </w:r>
      <w:r w:rsidRPr="00E80A6D">
        <w:rPr>
          <w:rFonts w:ascii="Times New Roman" w:hAnsi="Times New Roman" w:cs="Times New Roman"/>
          <w:sz w:val="28"/>
          <w:szCs w:val="28"/>
        </w:rPr>
        <w:t>міжособистісних відносинах; його формами є зобов’язання та очікування, інформаційні канали і соціальні норми [9]</w:t>
      </w:r>
    </w:p>
    <w:p w:rsidR="00811159" w:rsidRPr="00E80A6D" w:rsidRDefault="00811159" w:rsidP="00E80A6D">
      <w:pPr>
        <w:ind w:firstLine="709"/>
        <w:jc w:val="both"/>
        <w:rPr>
          <w:rFonts w:ascii="Times New Roman" w:hAnsi="Times New Roman" w:cs="Times New Roman"/>
          <w:sz w:val="28"/>
          <w:szCs w:val="28"/>
        </w:rPr>
      </w:pPr>
      <w:r w:rsidRPr="00E80A6D">
        <w:rPr>
          <w:rFonts w:ascii="Times New Roman" w:hAnsi="Times New Roman" w:cs="Times New Roman"/>
          <w:sz w:val="28"/>
          <w:szCs w:val="28"/>
        </w:rPr>
        <w:t>Дослідники звертають увагу на різні функціональні аспекти соціального капіталу. Він сприяє створенню громадянських ініціатив та асоціацій, які підвищують громадянську компетентність і політичну грамотність. Він може полегшувати виробничу діяльність, збільшувати ефект групової кооперації, призводить до скорочення витрат при здійсненні контролю за виконанням угод і контрактів як формальної основи суспільної взаємодії, сприяє ефективному демократичному правлінню, підвищенню добробуту, економічному процвітанню (Р. Патнем, Ф. Фукуяма, Дж. Коулмен).</w:t>
      </w:r>
    </w:p>
    <w:p w:rsidR="00811159" w:rsidRPr="00E80A6D" w:rsidRDefault="00811159" w:rsidP="00E80A6D">
      <w:pPr>
        <w:ind w:firstLine="709"/>
        <w:jc w:val="both"/>
        <w:rPr>
          <w:rFonts w:ascii="Times New Roman" w:hAnsi="Times New Roman" w:cs="Times New Roman"/>
          <w:sz w:val="28"/>
          <w:szCs w:val="28"/>
        </w:rPr>
      </w:pPr>
      <w:r w:rsidRPr="00E80A6D">
        <w:rPr>
          <w:rFonts w:ascii="Times New Roman" w:hAnsi="Times New Roman" w:cs="Times New Roman"/>
          <w:sz w:val="28"/>
          <w:szCs w:val="28"/>
        </w:rPr>
        <w:t>Соціальні мережі виконують роль каналів, якими здійснюється обмін різними ресурсами як між учасниками одного поля, так і між різними полями. Прилучення індивіда до соціальної мережі дає йому змогу підвищити свій потенціал, отримати допомогу ресурсами в різних формах. Наприклад, у бізнесі участь у соціальній мережі дає можливість одержати грошовий кредит, навіть пільговий. Соціальні мережі надають також і моральну підтримку, соціальний захист, формують громадську думку в певному напрямі, що теж має велике значення для індивіда</w:t>
      </w:r>
    </w:p>
    <w:p w:rsidR="00811159" w:rsidRPr="00E80A6D" w:rsidRDefault="00811159" w:rsidP="00E80A6D">
      <w:pPr>
        <w:ind w:firstLine="709"/>
        <w:jc w:val="both"/>
        <w:rPr>
          <w:rFonts w:ascii="Times New Roman" w:hAnsi="Times New Roman" w:cs="Times New Roman"/>
          <w:sz w:val="28"/>
          <w:szCs w:val="28"/>
        </w:rPr>
      </w:pPr>
      <w:r w:rsidRPr="00E80A6D">
        <w:rPr>
          <w:rFonts w:ascii="Times New Roman" w:hAnsi="Times New Roman" w:cs="Times New Roman"/>
          <w:sz w:val="28"/>
          <w:szCs w:val="28"/>
        </w:rPr>
        <w:t>Говорячи про обмін ресурсами в соціальних мережах, слід мати на увазі, що мережеві взаємодії можуть бути симетричними й асиметричними. До перших належать зв’язки, засновані на реципрокності (взаємообміні дарами між членами горизонтальної мережі). Регулюють ці відносини культурні норми. Тут обмін виконує роль символу „доброї волі”, наміру зміцнити відносини, встановити довіру для підтримання соціальної включеності. Реципрокність є інструментом прирощення соціального капіталу.</w:t>
      </w:r>
    </w:p>
    <w:p w:rsidR="00811159" w:rsidRPr="00E80A6D" w:rsidRDefault="00811159" w:rsidP="00E80A6D">
      <w:pPr>
        <w:ind w:firstLine="709"/>
        <w:jc w:val="both"/>
        <w:rPr>
          <w:rFonts w:ascii="Times New Roman" w:hAnsi="Times New Roman" w:cs="Times New Roman"/>
          <w:sz w:val="28"/>
          <w:szCs w:val="28"/>
        </w:rPr>
      </w:pPr>
      <w:r w:rsidRPr="00E80A6D">
        <w:rPr>
          <w:rFonts w:ascii="Times New Roman" w:hAnsi="Times New Roman" w:cs="Times New Roman"/>
          <w:sz w:val="28"/>
          <w:szCs w:val="28"/>
        </w:rPr>
        <w:t xml:space="preserve">Асиметричні зв’язки відтворюють відносини за типом патрон </w:t>
      </w:r>
      <w:r w:rsidRPr="00E80A6D">
        <w:rPr>
          <w:rFonts w:ascii="Times New Roman" w:hAnsi="Times New Roman" w:cs="Times New Roman"/>
          <w:sz w:val="28"/>
          <w:szCs w:val="28"/>
        </w:rPr>
        <w:t> клієнт. Їх можна розглядати як усталену систему відносин суб’єктів, що володіють диференційованою ресурсною забезпеченістю внаслідок приналежності до різних рівнів ієрархії, що їх об’єднує. Патрон опікується клієнтом за рахунок ресурсів, які має у своєму розпорядженні, та збирає відповідну данину у формі вдячності за опіку. Клієнтські мережі можуть контролювати розподільчі механізми широкого профілю – від розподілу матеріальних благ, робочих місць, землі і до розподілу дозволу, ступеня відповідальності та санкцій, привілеїв тощо. Ресурсна залежність є тією прихованою пружиною примусу, яка набуває вигляду добровільних актів. Зовнішньо добровільний обмін ієрархічно організованих суб’єктів не породжує відносин реципрокності. Скоріше, здійснюється мімікрія під відносини реципрокності коштом зовнішніх атрибутів обдаровування. У реальності ресурси циркулюють у формі данини, яку „патрон” збирає зі своїх „клієнтів”. У найзагальнішому вигляді різниця між реципрокністю і патрон</w:t>
      </w:r>
      <w:r w:rsidRPr="00E80A6D">
        <w:rPr>
          <w:rFonts w:ascii="Times New Roman" w:hAnsi="Times New Roman" w:cs="Times New Roman"/>
          <w:sz w:val="28"/>
          <w:szCs w:val="28"/>
        </w:rPr>
        <w:t xml:space="preserve">клієнтськими відносин полягає в наступному [10, с. 26 </w:t>
      </w:r>
      <w:r w:rsidRPr="00E80A6D">
        <w:rPr>
          <w:rFonts w:ascii="Times New Roman" w:hAnsi="Times New Roman" w:cs="Times New Roman"/>
          <w:sz w:val="28"/>
          <w:szCs w:val="28"/>
        </w:rPr>
        <w:t> 28]:</w:t>
      </w:r>
    </w:p>
    <w:p w:rsidR="00811159" w:rsidRPr="00E80A6D" w:rsidRDefault="00811159" w:rsidP="00E80A6D">
      <w:pPr>
        <w:ind w:firstLine="709"/>
        <w:jc w:val="both"/>
        <w:rPr>
          <w:rFonts w:ascii="Times New Roman" w:hAnsi="Times New Roman" w:cs="Times New Roman"/>
          <w:sz w:val="28"/>
          <w:szCs w:val="28"/>
        </w:rPr>
      </w:pPr>
      <w:r w:rsidRPr="00E80A6D">
        <w:rPr>
          <w:rFonts w:ascii="Times New Roman" w:hAnsi="Times New Roman" w:cs="Times New Roman"/>
          <w:sz w:val="28"/>
          <w:szCs w:val="28"/>
        </w:rPr>
        <w:t>1) різна природа примусу. Реципрокність будується на основі підкорення людей соціальним нормам, засвоєним у процесі соціалізації. Відносини патрон</w:t>
      </w:r>
      <w:r w:rsidRPr="00E80A6D">
        <w:rPr>
          <w:rFonts w:ascii="Times New Roman" w:hAnsi="Times New Roman" w:cs="Times New Roman"/>
          <w:sz w:val="28"/>
          <w:szCs w:val="28"/>
        </w:rPr>
        <w:t xml:space="preserve">клієнт не добровільні через їх ієрархічну диспозицію. Примус має управлінську –організаційну природу, і це усвідомлюють учасники мережі. Дарунки, що породжуються соціальними нормами, протистоять данині, яка породжується організаційною ієрархією; </w:t>
      </w:r>
    </w:p>
    <w:p w:rsidR="00811159" w:rsidRPr="00E80A6D" w:rsidRDefault="00811159" w:rsidP="00E80A6D">
      <w:pPr>
        <w:ind w:firstLine="709"/>
        <w:jc w:val="both"/>
        <w:rPr>
          <w:rFonts w:ascii="Times New Roman" w:hAnsi="Times New Roman" w:cs="Times New Roman"/>
          <w:sz w:val="28"/>
          <w:szCs w:val="28"/>
        </w:rPr>
      </w:pPr>
      <w:r w:rsidRPr="00E80A6D">
        <w:rPr>
          <w:rFonts w:ascii="Times New Roman" w:hAnsi="Times New Roman" w:cs="Times New Roman"/>
          <w:sz w:val="28"/>
          <w:szCs w:val="28"/>
        </w:rPr>
        <w:t xml:space="preserve">2) невизначеність форм і терміну реципрокних взаємодій протистоїть прогнозуванню контактів клієнтських мереж. Форми і терміни послуг патрона і клієнта якщо не обговорюються, то чітко усвідомлюються; </w:t>
      </w:r>
    </w:p>
    <w:p w:rsidR="00811159" w:rsidRPr="00E80A6D" w:rsidRDefault="00811159" w:rsidP="00E80A6D">
      <w:pPr>
        <w:ind w:firstLine="709"/>
        <w:jc w:val="both"/>
        <w:rPr>
          <w:rFonts w:ascii="Times New Roman" w:hAnsi="Times New Roman" w:cs="Times New Roman"/>
          <w:sz w:val="28"/>
          <w:szCs w:val="28"/>
        </w:rPr>
      </w:pPr>
      <w:r w:rsidRPr="00E80A6D">
        <w:rPr>
          <w:rFonts w:ascii="Times New Roman" w:hAnsi="Times New Roman" w:cs="Times New Roman"/>
          <w:sz w:val="28"/>
          <w:szCs w:val="28"/>
        </w:rPr>
        <w:t>3) реципрокність є реальністю, що не регулюється формальними інститутами, а патрон</w:t>
      </w:r>
      <w:r w:rsidRPr="00E80A6D">
        <w:rPr>
          <w:rFonts w:ascii="Times New Roman" w:hAnsi="Times New Roman" w:cs="Times New Roman"/>
          <w:sz w:val="28"/>
          <w:szCs w:val="28"/>
        </w:rPr>
        <w:t xml:space="preserve">клієнтизм є протилежністю формального порядку; </w:t>
      </w:r>
    </w:p>
    <w:p w:rsidR="00811159" w:rsidRPr="00E80A6D" w:rsidRDefault="00811159" w:rsidP="00E80A6D">
      <w:pPr>
        <w:ind w:firstLine="709"/>
        <w:jc w:val="both"/>
        <w:rPr>
          <w:rFonts w:ascii="Times New Roman" w:hAnsi="Times New Roman" w:cs="Times New Roman"/>
          <w:sz w:val="28"/>
          <w:szCs w:val="28"/>
        </w:rPr>
      </w:pPr>
      <w:r w:rsidRPr="00E80A6D">
        <w:rPr>
          <w:rFonts w:ascii="Times New Roman" w:hAnsi="Times New Roman" w:cs="Times New Roman"/>
          <w:sz w:val="28"/>
          <w:szCs w:val="28"/>
        </w:rPr>
        <w:t>4) мережі реципрокної підтримки більш інерційні та менш залежні від змін формального порядку, ніж патрон</w:t>
      </w:r>
      <w:r w:rsidRPr="00E80A6D">
        <w:rPr>
          <w:rFonts w:ascii="Times New Roman" w:hAnsi="Times New Roman" w:cs="Times New Roman"/>
          <w:sz w:val="28"/>
          <w:szCs w:val="28"/>
        </w:rPr>
        <w:t xml:space="preserve">клієнтські відносини; </w:t>
      </w:r>
    </w:p>
    <w:p w:rsidR="00811159" w:rsidRPr="00E80A6D" w:rsidRDefault="00811159" w:rsidP="00E80A6D">
      <w:pPr>
        <w:ind w:firstLine="709"/>
        <w:jc w:val="both"/>
        <w:rPr>
          <w:rFonts w:ascii="Times New Roman" w:hAnsi="Times New Roman" w:cs="Times New Roman"/>
          <w:sz w:val="28"/>
          <w:szCs w:val="28"/>
        </w:rPr>
      </w:pPr>
      <w:r w:rsidRPr="00E80A6D">
        <w:rPr>
          <w:rFonts w:ascii="Times New Roman" w:hAnsi="Times New Roman" w:cs="Times New Roman"/>
          <w:sz w:val="28"/>
          <w:szCs w:val="28"/>
        </w:rPr>
        <w:t xml:space="preserve">5) можливість збирання данини залежить від діапазону функціональних можливостей патрона, а можливість отримати дарунки – від особистого становища оточуючих; </w:t>
      </w:r>
    </w:p>
    <w:p w:rsidR="00811159" w:rsidRPr="00E80A6D" w:rsidRDefault="00811159" w:rsidP="00E80A6D">
      <w:pPr>
        <w:ind w:firstLine="709"/>
        <w:jc w:val="both"/>
        <w:rPr>
          <w:rFonts w:ascii="Times New Roman" w:hAnsi="Times New Roman" w:cs="Times New Roman"/>
          <w:sz w:val="28"/>
          <w:szCs w:val="28"/>
        </w:rPr>
      </w:pPr>
      <w:r w:rsidRPr="00E80A6D">
        <w:rPr>
          <w:rFonts w:ascii="Times New Roman" w:hAnsi="Times New Roman" w:cs="Times New Roman"/>
          <w:sz w:val="28"/>
          <w:szCs w:val="28"/>
        </w:rPr>
        <w:t>6) реципрокність засновується на симетричній мережевій структурі (горизонтальній), а патрон</w:t>
      </w:r>
      <w:r w:rsidRPr="00E80A6D">
        <w:rPr>
          <w:rFonts w:ascii="Times New Roman" w:hAnsi="Times New Roman" w:cs="Times New Roman"/>
          <w:sz w:val="28"/>
          <w:szCs w:val="28"/>
        </w:rPr>
        <w:t xml:space="preserve">клієнтські відносини передбачають ієрархію. Тому останні формуються за рахунок вертикальної впорядкованості суб’єктів. Горизонтальний рух дарунків протистоїть вертикальним каналам данини; </w:t>
      </w:r>
    </w:p>
    <w:p w:rsidR="00811159" w:rsidRPr="00E80A6D" w:rsidRDefault="00811159" w:rsidP="00E80A6D">
      <w:pPr>
        <w:ind w:firstLine="709"/>
        <w:jc w:val="both"/>
        <w:rPr>
          <w:rFonts w:ascii="Times New Roman" w:hAnsi="Times New Roman" w:cs="Times New Roman"/>
          <w:sz w:val="28"/>
          <w:szCs w:val="28"/>
        </w:rPr>
      </w:pPr>
      <w:r w:rsidRPr="00E80A6D">
        <w:rPr>
          <w:rFonts w:ascii="Times New Roman" w:hAnsi="Times New Roman" w:cs="Times New Roman"/>
          <w:sz w:val="28"/>
          <w:szCs w:val="28"/>
        </w:rPr>
        <w:t>7) реципрокні взаємодії демонструють можливості володіння соціальним капіталом, а патрон</w:t>
      </w:r>
      <w:r w:rsidRPr="00E80A6D">
        <w:rPr>
          <w:rFonts w:ascii="Times New Roman" w:hAnsi="Times New Roman" w:cs="Times New Roman"/>
          <w:sz w:val="28"/>
          <w:szCs w:val="28"/>
        </w:rPr>
        <w:t xml:space="preserve">клієнтизм – переваги володіння адміністративним капіталом; </w:t>
      </w:r>
    </w:p>
    <w:p w:rsidR="00811159" w:rsidRPr="00E80A6D" w:rsidRDefault="00811159" w:rsidP="00E80A6D">
      <w:pPr>
        <w:ind w:firstLine="709"/>
        <w:jc w:val="both"/>
        <w:rPr>
          <w:rFonts w:ascii="Times New Roman" w:hAnsi="Times New Roman" w:cs="Times New Roman"/>
          <w:sz w:val="28"/>
          <w:szCs w:val="28"/>
        </w:rPr>
      </w:pPr>
      <w:r w:rsidRPr="00E80A6D">
        <w:rPr>
          <w:rFonts w:ascii="Times New Roman" w:hAnsi="Times New Roman" w:cs="Times New Roman"/>
          <w:sz w:val="28"/>
          <w:szCs w:val="28"/>
        </w:rPr>
        <w:t>8) відносини реципрокності не потребують ідеологічного забарвлення – вони перебувають поза ідеологічним дискурсом, їх не кваліфікують як позитивні чи негативні. А патрон</w:t>
      </w:r>
      <w:r w:rsidRPr="00E80A6D">
        <w:rPr>
          <w:rFonts w:ascii="Times New Roman" w:hAnsi="Times New Roman" w:cs="Times New Roman"/>
          <w:sz w:val="28"/>
          <w:szCs w:val="28"/>
        </w:rPr>
        <w:t>клієнтські відносини часто піддаються критиці або розглядаються як інститут, що сприяє цілісності системи за рахунок набуття гнучкості.</w:t>
      </w:r>
    </w:p>
    <w:p w:rsidR="00811159" w:rsidRPr="00E80A6D" w:rsidRDefault="00811159" w:rsidP="00E80A6D">
      <w:pPr>
        <w:ind w:firstLine="709"/>
        <w:jc w:val="both"/>
        <w:rPr>
          <w:rFonts w:ascii="Times New Roman" w:hAnsi="Times New Roman" w:cs="Times New Roman"/>
          <w:sz w:val="28"/>
          <w:szCs w:val="28"/>
        </w:rPr>
      </w:pPr>
      <w:r w:rsidRPr="00E80A6D">
        <w:rPr>
          <w:rFonts w:ascii="Times New Roman" w:hAnsi="Times New Roman" w:cs="Times New Roman"/>
          <w:sz w:val="28"/>
          <w:szCs w:val="28"/>
        </w:rPr>
        <w:t>Слід підкреслити, що в реальності виокремленні типи відносин у соціальних мережах часто породжують різні варіанти гібридів, але в аналітичних цілях ці конструкти допомагають виявити особливості функціонування різних видів соціальних мереж, механіку соціального примусу, а також форму і розмір плати за привілейований доступ до мережевих ресурсів. Соціальна мережа будується на принципі взаємності і не може існувати (або набуває неусталеного характеру), коли одна сторона надає ресурси і підтримку, а інша тільки користується ними. Це об’єктивна структура з певною формою регулювання відносин, яку учасники мають засвоїти, якщо бажають увійти до неї. Використовуючи поняття мережевих зв’язків як соціального капіталу, котрий, як і деякий інший, розподілений нерівномірно, можна сказати, що перед „новачками” мережа створює певний „бар’єр”, який необхідно подолати для успішного</w:t>
      </w:r>
      <w:r w:rsidRPr="00E80A6D">
        <w:rPr>
          <w:rFonts w:ascii="Times New Roman" w:hAnsi="Times New Roman" w:cs="Times New Roman"/>
          <w:sz w:val="28"/>
          <w:szCs w:val="28"/>
        </w:rPr>
        <w:t xml:space="preserve"> </w:t>
      </w:r>
      <w:r w:rsidRPr="00E80A6D">
        <w:rPr>
          <w:rFonts w:ascii="Times New Roman" w:hAnsi="Times New Roman" w:cs="Times New Roman"/>
          <w:sz w:val="28"/>
          <w:szCs w:val="28"/>
        </w:rPr>
        <w:t>входження до цієї структури. Це передбачає інтеріоризацію відповідних правил і практик, вмонтованих у модель певної мережі. Більше того, агенти можуть не просто вбудовуватися в існуючі соціальні структури, але й свідомо виробляти обмеження і правила. Використовуючи термінологію А. Олейника, можна сказати, що вони утворюють спільний „проект”, в основі якого є певні формальна та неформальна угоди [11]. Це положення важливе для подальших розвідок щодо формування неформальних практик у пострадянських суспільствах.</w:t>
      </w:r>
    </w:p>
    <w:p w:rsidR="00811159" w:rsidRPr="00E80A6D" w:rsidRDefault="00811159" w:rsidP="00E80A6D">
      <w:pPr>
        <w:ind w:firstLine="709"/>
        <w:jc w:val="both"/>
        <w:rPr>
          <w:rFonts w:ascii="Times New Roman" w:hAnsi="Times New Roman" w:cs="Times New Roman"/>
          <w:sz w:val="28"/>
          <w:szCs w:val="28"/>
        </w:rPr>
      </w:pPr>
      <w:r w:rsidRPr="00E80A6D">
        <w:rPr>
          <w:rFonts w:ascii="Times New Roman" w:hAnsi="Times New Roman" w:cs="Times New Roman"/>
          <w:sz w:val="28"/>
          <w:szCs w:val="28"/>
        </w:rPr>
        <w:t>Аналіз стандартних практик у політичному просторі пострадянських суспільств дає змогу як західним, так і вітчизняним фахівцям зробити висновок про поширення асиметричних обмінів у мережевих взаємодіях, переважно клієнтелістського характеру. При цьому, йдеться не про всю сукупність відносин в суспільстві, а про найтиповіші, котрі охоплюють як відносини між управляючими й тими, ким управляють, так і відносини серед панівної верстви, які певним чином її структурують та організовують. Клієнтарні відносини формують широкі соціальні мережі, ієрархічно організовують соціальний простір. Основними гравцями у полі владних відносин виступають досить рухливі і не дуже тривалі актори – це персонально орієнтовані команди, які завжди шукають покровителів і періодично змінюють їх. Персональні вертикальні і горизонтальні зв’язки повністю забезпечили масштабну інфраструктуру для власних взаємодій подібних відносин.</w:t>
      </w:r>
    </w:p>
    <w:p w:rsidR="00811159" w:rsidRPr="00E80A6D" w:rsidRDefault="00811159" w:rsidP="00E80A6D">
      <w:pPr>
        <w:ind w:firstLine="709"/>
        <w:jc w:val="both"/>
        <w:rPr>
          <w:rFonts w:ascii="Times New Roman" w:hAnsi="Times New Roman" w:cs="Times New Roman"/>
          <w:sz w:val="28"/>
          <w:szCs w:val="28"/>
        </w:rPr>
      </w:pPr>
      <w:r w:rsidRPr="00E80A6D">
        <w:rPr>
          <w:rFonts w:ascii="Times New Roman" w:hAnsi="Times New Roman" w:cs="Times New Roman"/>
          <w:sz w:val="28"/>
          <w:szCs w:val="28"/>
        </w:rPr>
        <w:t>З точки зору соціокультурного підходу, клієнтелістські неформальні практики у пострадянських суспільствах є наслідком радянської культури, коли групи взаємної підтримки і взаємодопомоги відігравали велику роль, а володіння акціонерним капіталом та відносини взаємного кредитування підкріплювалися дружніми або родинними зв’язками. Саме тоді такі слова, як „блат”, „рука”, „наша людина”, „кругова порука” тощо, міцно увійшли в загальний лексикон. Деякі дослідники говорять про традиційність, але не в якості якогось інституціонального наслідку, а скоріше як про етнічні константи, адаптаційно</w:t>
      </w:r>
      <w:r w:rsidRPr="00E80A6D">
        <w:rPr>
          <w:rFonts w:ascii="Times New Roman" w:hAnsi="Times New Roman" w:cs="Times New Roman"/>
          <w:sz w:val="28"/>
          <w:szCs w:val="28"/>
        </w:rPr>
        <w:t>дійові стереотипи, що переносяться на нові інститути і відтворюються в соціальних обставинах, що змінюються [12]</w:t>
      </w:r>
    </w:p>
    <w:p w:rsidR="00811159" w:rsidRPr="00E80A6D" w:rsidRDefault="00811159" w:rsidP="00E80A6D">
      <w:pPr>
        <w:ind w:firstLine="709"/>
        <w:jc w:val="both"/>
        <w:rPr>
          <w:rFonts w:ascii="Times New Roman" w:hAnsi="Times New Roman" w:cs="Times New Roman"/>
          <w:sz w:val="28"/>
          <w:szCs w:val="28"/>
        </w:rPr>
      </w:pPr>
      <w:r w:rsidRPr="00E80A6D">
        <w:rPr>
          <w:rFonts w:ascii="Times New Roman" w:hAnsi="Times New Roman" w:cs="Times New Roman"/>
          <w:sz w:val="28"/>
          <w:szCs w:val="28"/>
        </w:rPr>
        <w:t>Зазначимо, що стереотипи особистих взаємин, які призвели до повторюваних персоніфікованих і локалізованих практик, сформувалися давно, у традиційному суспільстві. За радянських часів вони зміцніли й поширилися завдяки „технології виживання”, пов’язаної з розкуркуленням і формуванням „нового робітничого класу”, а згодом з війною і повоєнним лихоліттям. Як зазначає В. Степаненко, „наявність та стійкість неформальних відносин у пострадянських країнах, зокрема в Україні, були (та й досі є) об’єктивною раціональною життєвою стратегією виживання у колі „своїх людей” у період болісної соціальної трансформації” [13]. Орієнтація на особисті зв’язки у соціальних мережах</w:t>
      </w:r>
      <w:r w:rsidRPr="00E80A6D">
        <w:rPr>
          <w:rFonts w:ascii="Times New Roman" w:hAnsi="Times New Roman" w:cs="Times New Roman"/>
          <w:sz w:val="28"/>
          <w:szCs w:val="28"/>
        </w:rPr>
        <w:t xml:space="preserve"> </w:t>
      </w:r>
      <w:r w:rsidRPr="00E80A6D">
        <w:rPr>
          <w:rFonts w:ascii="Times New Roman" w:hAnsi="Times New Roman" w:cs="Times New Roman"/>
          <w:sz w:val="28"/>
          <w:szCs w:val="28"/>
        </w:rPr>
        <w:t>свідчить про глибоко вкорінений, усталено відтворений у масових практиках неофіційний інститут, який визнається значно ефективнішим, ніж інститути офіційні.</w:t>
      </w:r>
    </w:p>
    <w:p w:rsidR="00811159" w:rsidRPr="00E80A6D" w:rsidRDefault="00811159" w:rsidP="00E80A6D">
      <w:pPr>
        <w:ind w:firstLine="709"/>
        <w:jc w:val="both"/>
        <w:rPr>
          <w:rFonts w:ascii="Times New Roman" w:hAnsi="Times New Roman" w:cs="Times New Roman"/>
          <w:sz w:val="28"/>
          <w:szCs w:val="28"/>
        </w:rPr>
      </w:pPr>
      <w:r w:rsidRPr="00E80A6D">
        <w:rPr>
          <w:rFonts w:ascii="Times New Roman" w:hAnsi="Times New Roman" w:cs="Times New Roman"/>
          <w:sz w:val="28"/>
          <w:szCs w:val="28"/>
        </w:rPr>
        <w:t>Неформальні персональні зв’язки, при всій їх комерціалізації та монетаризації, ніколи повністю не зводяться до платних послуг і підкупу як таких, оскільки не тільки забезпечують учасників взаємодії необхідними й бажаними ресурсами, але й задовольняють їх потребу у довірі. Пострадянський досвід свідчить, що існує особливий механізм функціонування довіри, який обмежується родинно</w:t>
      </w:r>
      <w:r w:rsidRPr="00E80A6D">
        <w:rPr>
          <w:rFonts w:ascii="Times New Roman" w:hAnsi="Times New Roman" w:cs="Times New Roman"/>
          <w:sz w:val="28"/>
          <w:szCs w:val="28"/>
        </w:rPr>
        <w:t xml:space="preserve">клановими стратегіями. Брак історичної традиції нагромадження та розвитку соціального капіталу у горизонтальних мережах суспільної активності і співробітництва створює певний соціальний вакуум. Він заповнюється по мірі створення мережі клієнтарних взаємозв’язків, формування „вертикальних” міжособистісних відносин „патрон </w:t>
      </w:r>
      <w:r w:rsidRPr="00E80A6D">
        <w:rPr>
          <w:rFonts w:ascii="Times New Roman" w:hAnsi="Times New Roman" w:cs="Times New Roman"/>
          <w:sz w:val="28"/>
          <w:szCs w:val="28"/>
        </w:rPr>
        <w:t> клієнт” та розвитку мафіозно</w:t>
      </w:r>
      <w:r w:rsidRPr="00E80A6D">
        <w:rPr>
          <w:rFonts w:ascii="Times New Roman" w:hAnsi="Times New Roman" w:cs="Times New Roman"/>
          <w:sz w:val="28"/>
          <w:szCs w:val="28"/>
        </w:rPr>
        <w:t>інституціонального порядку [14, с. 33].</w:t>
      </w:r>
    </w:p>
    <w:p w:rsidR="00811159" w:rsidRPr="00E80A6D" w:rsidRDefault="00811159" w:rsidP="00E80A6D">
      <w:pPr>
        <w:ind w:firstLine="709"/>
        <w:jc w:val="both"/>
        <w:rPr>
          <w:rFonts w:ascii="Times New Roman" w:hAnsi="Times New Roman" w:cs="Times New Roman"/>
          <w:sz w:val="28"/>
          <w:szCs w:val="28"/>
        </w:rPr>
      </w:pPr>
      <w:r w:rsidRPr="00E80A6D">
        <w:rPr>
          <w:rFonts w:ascii="Times New Roman" w:hAnsi="Times New Roman" w:cs="Times New Roman"/>
          <w:sz w:val="28"/>
          <w:szCs w:val="28"/>
        </w:rPr>
        <w:t xml:space="preserve">Так, за даними опитувань, проведених Інститутом соціології НАН України 2005 року, рівень деперсоніфікованої довіри в українському соціумі складає 34,6 % (тобто, саме стільки українців вважають, що більшості людей можна довіряти, 48,2 % не згодні з цією позицією, а 17,3 % не знають, як відповісти на це запитання) [15, с. 44]. Додамо, що більше половини населення України (50,2 %) впевнено, що нікому не довіряти у житті – найбезпечніша позиція [15, с. 46]. Тим часом, навіть вирахований аналітичним шляхом мінімальний рівень довіри, необхідний для здійснення найпростіших угод на ринку, складає 35 % [16, с. 100 </w:t>
      </w:r>
      <w:r w:rsidRPr="00E80A6D">
        <w:rPr>
          <w:rFonts w:ascii="Times New Roman" w:hAnsi="Times New Roman" w:cs="Times New Roman"/>
          <w:sz w:val="28"/>
          <w:szCs w:val="28"/>
        </w:rPr>
        <w:t> 102]</w:t>
      </w:r>
    </w:p>
    <w:p w:rsidR="00811159" w:rsidRPr="00E80A6D" w:rsidRDefault="00811159" w:rsidP="00E80A6D">
      <w:pPr>
        <w:ind w:firstLine="709"/>
        <w:jc w:val="both"/>
        <w:rPr>
          <w:rFonts w:ascii="Times New Roman" w:hAnsi="Times New Roman" w:cs="Times New Roman"/>
          <w:sz w:val="28"/>
          <w:szCs w:val="28"/>
        </w:rPr>
      </w:pPr>
      <w:r w:rsidRPr="00E80A6D">
        <w:rPr>
          <w:rFonts w:ascii="Times New Roman" w:hAnsi="Times New Roman" w:cs="Times New Roman"/>
          <w:sz w:val="28"/>
          <w:szCs w:val="28"/>
        </w:rPr>
        <w:t>Соціологічні дані свідчать, що пострадянська людина не є носієм колективістських цінностей. Зазвичай вона розраховує тільки на себе або на своє близьке оточення, але й не є вільною від державно</w:t>
      </w:r>
      <w:r w:rsidRPr="00E80A6D">
        <w:rPr>
          <w:rFonts w:ascii="Times New Roman" w:hAnsi="Times New Roman" w:cs="Times New Roman"/>
          <w:sz w:val="28"/>
          <w:szCs w:val="28"/>
        </w:rPr>
        <w:t> патерналістського комплексу. Протягом останніх десяти років, на тлі низького рівня інституціоналізованої довіри, найбільший ступінь довіри демонструється респондентами на рівні власної родини, другий і третій рівні посідають люди, з якими підтримується постійний контакт – сусіди і колеги [15, с. 55]. Проблема пострадянських суспільств полягає в тому, що в ньому панують здебільш саме партикулярні, а не універсальні норми. Більшість норм мають своїм атрибутом групу людей, поєднаних сімейно</w:t>
      </w:r>
      <w:r w:rsidRPr="00E80A6D">
        <w:rPr>
          <w:rFonts w:ascii="Times New Roman" w:hAnsi="Times New Roman" w:cs="Times New Roman"/>
          <w:sz w:val="28"/>
          <w:szCs w:val="28"/>
        </w:rPr>
        <w:t>родинними зв’язками або тривалими особистими знайомствами. Ці норми підтримуються персоніфікованими відносинами, а важливу роль у забезпеченні їх виконання відіграють соціальні санкції (втрата репутації, остракізм).</w:t>
      </w:r>
    </w:p>
    <w:p w:rsidR="00811159" w:rsidRPr="00E80A6D" w:rsidRDefault="00811159" w:rsidP="00E80A6D">
      <w:pPr>
        <w:ind w:firstLine="709"/>
        <w:jc w:val="both"/>
        <w:rPr>
          <w:rFonts w:ascii="Times New Roman" w:hAnsi="Times New Roman" w:cs="Times New Roman"/>
          <w:sz w:val="28"/>
          <w:szCs w:val="28"/>
        </w:rPr>
      </w:pPr>
      <w:r w:rsidRPr="00E80A6D">
        <w:rPr>
          <w:rFonts w:ascii="Times New Roman" w:hAnsi="Times New Roman" w:cs="Times New Roman"/>
          <w:sz w:val="28"/>
          <w:szCs w:val="28"/>
        </w:rPr>
        <w:t>У цьому контексті цікавими є висновки американського антрополога Ж. Уедел, яка виявила зв’язок проблеми розвитку громадянського суспільства і функціонування особливого феномена довіри в радянські часи з формуванням вертикальної мережі у пострадянський період. Її</w:t>
      </w:r>
      <w:r w:rsidRPr="00E80A6D">
        <w:rPr>
          <w:rFonts w:ascii="Times New Roman" w:hAnsi="Times New Roman" w:cs="Times New Roman"/>
          <w:sz w:val="28"/>
          <w:szCs w:val="28"/>
        </w:rPr>
        <w:t xml:space="preserve"> </w:t>
      </w:r>
      <w:r w:rsidRPr="00E80A6D">
        <w:rPr>
          <w:rFonts w:ascii="Times New Roman" w:hAnsi="Times New Roman" w:cs="Times New Roman"/>
          <w:sz w:val="28"/>
          <w:szCs w:val="28"/>
        </w:rPr>
        <w:t xml:space="preserve">концепцію було викладено 1998 року в книзі „Зіткнення та змова: дивний випадок західної допомоги Східній Європі у 1989 </w:t>
      </w:r>
      <w:r w:rsidRPr="00E80A6D">
        <w:rPr>
          <w:rFonts w:ascii="Times New Roman" w:hAnsi="Times New Roman" w:cs="Times New Roman"/>
          <w:sz w:val="28"/>
          <w:szCs w:val="28"/>
        </w:rPr>
        <w:t> 1998”. Аналізуючи комуністичні суспільства, автор відзначає, що поширена на Заході теорія стосовно того, що громадянського суспільства за часів тоталітаризму не існувало, не відповідає дійсності, оскільки представники цієї теорії відшукували звичні для західного суспільства критерії його функціонування, тобто альтернативні структури, які б могли боротися з „демонічною” державою. Але, як пише Ж. Уедел, вони не помічали діяльності неофіційних інститутів, які „не відповідали ні західним, ні східним моделям”. Ці інститути існували як „непублічні та неусталені”, хоча становили цілий лабіринт каналів (заснованих як на патрон</w:t>
      </w:r>
      <w:r w:rsidRPr="00E80A6D">
        <w:rPr>
          <w:rFonts w:ascii="Times New Roman" w:hAnsi="Times New Roman" w:cs="Times New Roman"/>
          <w:sz w:val="28"/>
          <w:szCs w:val="28"/>
        </w:rPr>
        <w:t> клієнтських, так і на горизонтальних зв’язках), за якими здійснювалися угоди та обмін як між приватними особами, так і між приватними особами і представниками держструктур</w:t>
      </w:r>
    </w:p>
    <w:p w:rsidR="00811159" w:rsidRPr="00E80A6D" w:rsidRDefault="00811159" w:rsidP="00E80A6D">
      <w:pPr>
        <w:ind w:firstLine="709"/>
        <w:jc w:val="both"/>
        <w:rPr>
          <w:rFonts w:ascii="Times New Roman" w:hAnsi="Times New Roman" w:cs="Times New Roman"/>
          <w:sz w:val="28"/>
          <w:szCs w:val="28"/>
        </w:rPr>
      </w:pPr>
      <w:r w:rsidRPr="00E80A6D">
        <w:rPr>
          <w:rFonts w:ascii="Times New Roman" w:hAnsi="Times New Roman" w:cs="Times New Roman"/>
          <w:sz w:val="28"/>
          <w:szCs w:val="28"/>
        </w:rPr>
        <w:t xml:space="preserve">Для позначення альтернативних східноєвропейських інститутів автор використовує термін „кліки” та визначає їх як групи, члени яких об’єднані щільними та багатоплановими мережами взаємовідносин, що мають спільну ідентичність [17, с. 104]. Кліки виконували роль посередників між державним і приватним секторами, а також між бюрократією і приватним бізнесом. Діяльність у якості елемента стратегічного союзу дозволяла членам таких утворень виживати в умовах невизначеності. Згодом, коли країни перейшли до фази реформування, послаблення традиційної влади і традиційних інститутів, вони одержали дуже широкі повноваження без серйозних обмежень своєї активності. Вони, перш за все, прагнули особистих цілей незалежно від формальних інститутів, бо обставини вимагали від них лояльності до групи, а не до формальних інститутів. Іншим результатом цієї ситуації стала концентрація ресурсів і власної здатності приймати рішення в економіці, політиці та соціальній сфері в руках обмеженої кількості осіб [17, с. 105 </w:t>
      </w:r>
      <w:r w:rsidRPr="00E80A6D">
        <w:rPr>
          <w:rFonts w:ascii="Times New Roman" w:hAnsi="Times New Roman" w:cs="Times New Roman"/>
          <w:sz w:val="28"/>
          <w:szCs w:val="28"/>
        </w:rPr>
        <w:t> 106]. Парадоксально, але саме ці групи, сформовані завдяки глибоко вкоріненим відносинам довіри та організаційним здібностям, мали стати (або, принаймні, мали можливості для цього) основою для розвитку структур громадянського суспільства. Називаючи більшість пострадянських країн державами</w:t>
      </w:r>
      <w:r w:rsidRPr="00E80A6D">
        <w:rPr>
          <w:rFonts w:ascii="Times New Roman" w:hAnsi="Times New Roman" w:cs="Times New Roman"/>
          <w:sz w:val="28"/>
          <w:szCs w:val="28"/>
        </w:rPr>
        <w:t xml:space="preserve">кланами, Ж. Уедел стверджує, що в останніх одні й ті самі люди одночасно складають клан і обіймають державні посади. Такі держави мають обмежену відповідальність, характеризуються непрозорістю управління. Як правило, вплив одного клану може бути припинений або обмежений тільки конкуруючим кланом, оскільки судові органи часто керуються політичними мотивами. Клан влаштовує людей на різні формальні та неформальні посади, завдяки чому вони отримують доступ до ресурсів, необхідних для досягнення цілей клану [18, с. 480 </w:t>
      </w:r>
      <w:r w:rsidRPr="00E80A6D">
        <w:rPr>
          <w:rFonts w:ascii="Times New Roman" w:hAnsi="Times New Roman" w:cs="Times New Roman"/>
          <w:sz w:val="28"/>
          <w:szCs w:val="28"/>
        </w:rPr>
        <w:t> 481].</w:t>
      </w:r>
    </w:p>
    <w:p w:rsidR="00811159" w:rsidRPr="00E80A6D" w:rsidRDefault="00811159" w:rsidP="00E80A6D">
      <w:pPr>
        <w:ind w:firstLine="709"/>
        <w:jc w:val="both"/>
        <w:rPr>
          <w:rFonts w:ascii="Times New Roman" w:hAnsi="Times New Roman" w:cs="Times New Roman"/>
          <w:sz w:val="28"/>
          <w:szCs w:val="28"/>
        </w:rPr>
      </w:pPr>
      <w:r w:rsidRPr="00E80A6D">
        <w:rPr>
          <w:rFonts w:ascii="Times New Roman" w:hAnsi="Times New Roman" w:cs="Times New Roman"/>
          <w:sz w:val="28"/>
          <w:szCs w:val="28"/>
        </w:rPr>
        <w:t>Зосереджуючись на проблемі клієнтелістських неформальних практик саме в ієрархічних структурах, відзначимо, що цей феномен досить чітко простежується, наприклад, у Росії, де панівна верства перехідного періоду визначається як постноменклатурний патронат [12]. Це визначення відображає генезу та розвиток актуального типу панування, який є результатом приватизації соціальної могутності номенклатури, що розпалася, проте, як і раніше, синкретично поєднує політичну й економічну владу. Крім того, воно вказує на патерналістський, „сімейний”, неформальний характер панування, який усталено відтворюється на практиці відносин між управляючими й тими, ким управляють. Це визначення позначає й найбільш дієві засоби панування та обміну ресурсами – патрон</w:t>
      </w:r>
      <w:r w:rsidRPr="00E80A6D">
        <w:rPr>
          <w:rFonts w:ascii="Times New Roman" w:hAnsi="Times New Roman" w:cs="Times New Roman"/>
          <w:sz w:val="28"/>
          <w:szCs w:val="28"/>
        </w:rPr>
        <w:t xml:space="preserve">клієнтські зв’язки, зокрема, приватні союзи захисту і підтримки („команда”, „дах”). Утворені за таким принципом вертикальні мережі забезпечують, з одного боку, дозований ступінь конкуренції й відкритості, а з іншого </w:t>
      </w:r>
      <w:r w:rsidRPr="00E80A6D">
        <w:rPr>
          <w:rFonts w:ascii="Times New Roman" w:hAnsi="Times New Roman" w:cs="Times New Roman"/>
          <w:sz w:val="28"/>
          <w:szCs w:val="28"/>
        </w:rPr>
        <w:t xml:space="preserve"> постійне відтворення та визначальну роль особистих зв’язків, тіньових узгоджень і клієнтурних мереж. В концепції підпорядкування вертикальних мереж неопатрімоніальній логіці в українському політичному полі О. Фісун справедливо підкреслює, що проблема стосується саме специфіки асиметричної конвертації й обміну капіталів. Посилаючись на дослідження Р. Теобальда, він вбачає сутнісну особливість патримоніальних режимів саме в обміні посад, можливостей, титулів, контрактів, ліцензій, імунітету від закону тощо між ключовими фігурами в уряді та стратегічно розташованими індивідами – профспілковими лідерами, бізнесменами, регіональними керівниками і т. д. В обмін на ці ресурси уряди або глави держав одержують економічну і політичну підтримку [19, с. 133 </w:t>
      </w:r>
      <w:r w:rsidRPr="00E80A6D">
        <w:rPr>
          <w:rFonts w:ascii="Times New Roman" w:hAnsi="Times New Roman" w:cs="Times New Roman"/>
          <w:sz w:val="28"/>
          <w:szCs w:val="28"/>
        </w:rPr>
        <w:t> 134]. Тобто, через механізм патронажно</w:t>
      </w:r>
      <w:r w:rsidRPr="00E80A6D">
        <w:rPr>
          <w:rFonts w:ascii="Times New Roman" w:hAnsi="Times New Roman" w:cs="Times New Roman"/>
          <w:sz w:val="28"/>
          <w:szCs w:val="28"/>
        </w:rPr>
        <w:t>клієнтарних відносин узгоджуються різні партикулярні інтереси, що дає змогу асиметрично перерозподіляти ресурси відповідно до статусу і позиції кожного учасника такої взаємодії.</w:t>
      </w:r>
    </w:p>
    <w:p w:rsidR="00811159" w:rsidRPr="00E80A6D" w:rsidRDefault="00811159" w:rsidP="00E80A6D">
      <w:pPr>
        <w:ind w:firstLine="709"/>
        <w:jc w:val="both"/>
        <w:rPr>
          <w:rFonts w:ascii="Times New Roman" w:hAnsi="Times New Roman" w:cs="Times New Roman"/>
          <w:sz w:val="28"/>
          <w:szCs w:val="28"/>
        </w:rPr>
      </w:pPr>
      <w:r w:rsidRPr="00E80A6D">
        <w:rPr>
          <w:rFonts w:ascii="Times New Roman" w:hAnsi="Times New Roman" w:cs="Times New Roman"/>
          <w:sz w:val="28"/>
          <w:szCs w:val="28"/>
        </w:rPr>
        <w:t>Важливим є і таке питання: як на практиці здійснюється розпорядження ресурсами у вертикальних мережах? За даними О. Даугавет, одержаними за методикою пілотажних інтерв’ю в елітному середовищі, діяльність щодо перерозподілу ресурсів з метою отримання прибутку організована у формі запланованих заходів та ініціатив, так званих проектів. Одним з головних кроків у процесі реалізації проекту є мобілізація навколо нього „своїх” людей, котрі обіймають формальні (офіційні) посади та неформальні позиції (наближеність до персон – об’єктів лобістського впливу, інформованість в необхідних галузях тощо). Термін „свій” тісно пов’язаний з поняттям довіри. Умова довіри – не контракт, а репутація „своєї людини”. До „своїх” входять особи, які вже брали участь у реалізації „проектів”, а також новачки, що хочуть увійти в групу, котра вже існує або формується під конкретний проект. Стратегія „проектів” засновується на уявленнях щодо реальних можливостей</w:t>
      </w:r>
      <w:r w:rsidRPr="00E80A6D">
        <w:rPr>
          <w:rFonts w:ascii="Times New Roman" w:hAnsi="Times New Roman" w:cs="Times New Roman"/>
          <w:sz w:val="28"/>
          <w:szCs w:val="28"/>
        </w:rPr>
        <w:t xml:space="preserve"> </w:t>
      </w:r>
      <w:r w:rsidRPr="00E80A6D">
        <w:rPr>
          <w:rFonts w:ascii="Times New Roman" w:hAnsi="Times New Roman" w:cs="Times New Roman"/>
          <w:sz w:val="28"/>
          <w:szCs w:val="28"/>
        </w:rPr>
        <w:t xml:space="preserve">близького оточення. Ресурсами можуть бути можливість маніпулювати матеріальними і фінансовими засобами, зв’язки у владних структурах більш високого рівня, право голосу в законодавчому органі тощо. Прибутки, що передбачаються, полягають не лише в матеріальних винагородах, але й у збільшенні владних ресурсів та синтезі нових можливостей </w:t>
      </w:r>
      <w:r w:rsidRPr="00E80A6D">
        <w:rPr>
          <w:rFonts w:ascii="Times New Roman" w:hAnsi="Times New Roman" w:cs="Times New Roman"/>
          <w:sz w:val="28"/>
          <w:szCs w:val="28"/>
        </w:rPr>
        <w:t> місце в партійному списку або ресурси на передвиборчу кампанію, кращі умови економічної діяльності (ліцензії, пільги, субсидії тощо). У своїй діяльності елітні верстви використовують саме економічну лексику –„рентабельність”, „прибуток”, „витрати”, „пропозиція і попит”, „конкурент”, „бізнес</w:t>
      </w:r>
      <w:r w:rsidRPr="00E80A6D">
        <w:rPr>
          <w:rFonts w:ascii="Times New Roman" w:hAnsi="Times New Roman" w:cs="Times New Roman"/>
          <w:sz w:val="28"/>
          <w:szCs w:val="28"/>
        </w:rPr>
        <w:t xml:space="preserve">план”. Інструментами оцінки ефективності дій є категорії „серйозно </w:t>
      </w:r>
      <w:r w:rsidRPr="00E80A6D">
        <w:rPr>
          <w:rFonts w:ascii="Times New Roman" w:hAnsi="Times New Roman" w:cs="Times New Roman"/>
          <w:sz w:val="28"/>
          <w:szCs w:val="28"/>
        </w:rPr>
        <w:t> несерйозно”, „свій – не свій”. Оцінка серйозності стосується можливостей ключових фігур – їх власного ресурсу, особистого потенціалу, місця в мережі персональних зв’язків, статусу в постійних і неформальних групах, а також готовності діяти згідно з неформальними правилами та одночасно бути готовим піти на ризик, порушуючи формальні норми. Тобто, в наявності ситуація „інституціоналізації довіри, яка, залишаючись основним елементом системи, вже не є індивідуальним надбанням учасників взаємодії, бо з’являються інструментальні критерії оцінки і класифікації, які втілюються у відомих та обов’язкових процедурах і ритуалах” [1, с. 36]</w:t>
      </w:r>
    </w:p>
    <w:p w:rsidR="00811159" w:rsidRPr="00E80A6D" w:rsidRDefault="00811159" w:rsidP="00E80A6D">
      <w:pPr>
        <w:ind w:firstLine="709"/>
        <w:jc w:val="both"/>
        <w:rPr>
          <w:rFonts w:ascii="Times New Roman" w:hAnsi="Times New Roman" w:cs="Times New Roman"/>
          <w:sz w:val="28"/>
          <w:szCs w:val="28"/>
        </w:rPr>
      </w:pPr>
      <w:r w:rsidRPr="00E80A6D">
        <w:rPr>
          <w:rFonts w:ascii="Times New Roman" w:hAnsi="Times New Roman" w:cs="Times New Roman"/>
          <w:sz w:val="28"/>
          <w:szCs w:val="28"/>
        </w:rPr>
        <w:t>Акцентуємо увагу на тому, що поширення клієнтарних практик у соціальних мережах пов’язане, безперечно, з комплексом аргументів щодо трансформаційної природи пострадянських суспільств, дестабілізації усталеного порядку та непослідовністю політики реформ, яка також призвела і до когнітивної кризи. Когнітивна криза виникає, коли порушується природний розвиток і демонтується традиційна ієрархія та система соціальних інститутів. Швидка інсталяція нових інститутів неможлива через неоднорідність соціуму, який не сприймає чужорідних утворень. У такій ситуації одна із сформованих соціальних мереж займає місце ліквідованої ієрархії і відтак виконує стабілізуючу функцію в момент „транзиту”. В результаті мережа довіри трансформується у мережу влади. Отже, мережеві елементи в ієрархічних структурах є „резервними механізмами” стабілізації, які можуть бути задіяними, передусім, при заміщенні вакансій [20]</w:t>
      </w:r>
    </w:p>
    <w:p w:rsidR="00811159" w:rsidRPr="00E80A6D" w:rsidRDefault="00811159" w:rsidP="00E80A6D">
      <w:pPr>
        <w:ind w:firstLine="709"/>
        <w:jc w:val="both"/>
        <w:rPr>
          <w:rFonts w:ascii="Times New Roman" w:hAnsi="Times New Roman" w:cs="Times New Roman"/>
          <w:sz w:val="28"/>
          <w:szCs w:val="28"/>
        </w:rPr>
      </w:pPr>
      <w:r w:rsidRPr="00E80A6D">
        <w:rPr>
          <w:rFonts w:ascii="Times New Roman" w:hAnsi="Times New Roman" w:cs="Times New Roman"/>
          <w:sz w:val="28"/>
          <w:szCs w:val="28"/>
        </w:rPr>
        <w:t>Якщо дотримуватися економічного погляду на формування мережевого компонента в ієрархіях, то останні актуалізуються завдяки стратегії кооперації за інтересом зменшення невизначеності та посилення безпеки і стабільності. Володіння ресурсами в стабільному і передбачуваному суспільстві може дати змогу людям бути незалежними одне від одного; протилежна ситуація стимулює пошук тісних зв’язків з суб’єктами, які можуть забезпечити підтримку і захист. Неринкові механізми, на яких базуються вертикальні мережі, є засобом управління ризиком. Як свідчить світовий досвід, вертикально інтегровані мережі</w:t>
      </w:r>
      <w:r w:rsidRPr="00E80A6D">
        <w:rPr>
          <w:rFonts w:ascii="Times New Roman" w:hAnsi="Times New Roman" w:cs="Times New Roman"/>
          <w:sz w:val="28"/>
          <w:szCs w:val="28"/>
        </w:rPr>
        <w:t xml:space="preserve"> </w:t>
      </w:r>
      <w:r w:rsidRPr="00E80A6D">
        <w:rPr>
          <w:rFonts w:ascii="Times New Roman" w:hAnsi="Times New Roman" w:cs="Times New Roman"/>
          <w:sz w:val="28"/>
          <w:szCs w:val="28"/>
        </w:rPr>
        <w:t>можуть демонструвати переваги двоякого роду: забезпечувати економію на витратах, а також зменшувати ризик та підвищувати стабільність угод і договорів, самої системи як такої. Однак існування таких мереж може призвести і до прямо протилежних наслідків – підвищення витрат і зростання ризику. Непрозорість вертикальних мереж викликає спотворення оцінок ефективності, а відтак і некоректного прийняття рішень. Через непрозорість вертикально побудованих пірамід обмежується сприйняття ринкових сигналів, що виключає стратегію швидкого реагування на зовнішні умови, які змінюються [21]. Якщо ці механізми починають трансформуватися в „неформальні правила” та визначати „повсякдення” ієрархії, то вони перетворюються на загрозу ефективності останньої та стають джерелом когнітивної кризи, яку інструментально мають вирішувати</w:t>
      </w:r>
    </w:p>
    <w:p w:rsidR="00811159" w:rsidRPr="00E80A6D" w:rsidRDefault="00811159" w:rsidP="00E80A6D">
      <w:pPr>
        <w:ind w:firstLine="709"/>
        <w:jc w:val="both"/>
        <w:rPr>
          <w:rFonts w:ascii="Times New Roman" w:hAnsi="Times New Roman" w:cs="Times New Roman"/>
          <w:sz w:val="28"/>
          <w:szCs w:val="28"/>
        </w:rPr>
      </w:pPr>
      <w:r w:rsidRPr="00E80A6D">
        <w:rPr>
          <w:rFonts w:ascii="Times New Roman" w:hAnsi="Times New Roman" w:cs="Times New Roman"/>
          <w:sz w:val="28"/>
          <w:szCs w:val="28"/>
        </w:rPr>
        <w:t>Якими б не були причини панування асиметричних обмінів і вертикальних мереж, а також баланс позитивних і негативних наслідків, однозначно можна сказати, що в цілому вони стримують розвиток громадянського суспільства, формування громадянської солідарності та базової довіри. По</w:t>
      </w:r>
      <w:r w:rsidRPr="00E80A6D">
        <w:rPr>
          <w:rFonts w:ascii="Times New Roman" w:hAnsi="Times New Roman" w:cs="Times New Roman"/>
          <w:sz w:val="28"/>
          <w:szCs w:val="28"/>
        </w:rPr>
        <w:t>перше, панування кланів і кланових стратегій означає насильницьке обмеження конкуренції та звуження можливостей для інших груп населення, значну частину якого очікує статус аутсайдерів. По</w:t>
      </w:r>
      <w:r w:rsidRPr="00E80A6D">
        <w:rPr>
          <w:rFonts w:ascii="Times New Roman" w:hAnsi="Times New Roman" w:cs="Times New Roman"/>
          <w:sz w:val="28"/>
          <w:szCs w:val="28"/>
        </w:rPr>
        <w:t>друге, вертикальні канали постачання інформації „згори вниз” ненадійні – нижчі рівні прагнуть приховувати або спотворювати інформацію, що є формою захисту від експлуатації. При цьому, санкції за порушення норм взаємності не можуть бути накладені нижчими рівнями управління на верхній рівень. Вертикальний клієнтелізм руйнує групову солідарність як патронів, так і клієнтів. Відносини залежності замість взаємної вигоди підвищують можливість опортунізму як з боку клієнта, так і з боку патрона [21]. По</w:t>
      </w:r>
      <w:r w:rsidRPr="00E80A6D">
        <w:rPr>
          <w:rFonts w:ascii="Times New Roman" w:hAnsi="Times New Roman" w:cs="Times New Roman"/>
          <w:sz w:val="28"/>
          <w:szCs w:val="28"/>
        </w:rPr>
        <w:t>третє, спостерігається поєднання політиків і бізнесменів, корупція, таємні альянси і кланові війни призводять до великих витрат, пов’язаних із суспільним неприйняттям і уявленнями про нелегітимність режиму. Далі, в умовах інституціональної невизначеності особисті зв’язки та клієнтурно організовані соціальні мережі, доповнюючи „дефіцит держави”, все ж підривають офіційні публічні інститути, позбавляючи їх громадського правового змісту. Нарешті, консолідація певного клієнтелістського соціально</w:t>
      </w:r>
      <w:r w:rsidRPr="00E80A6D">
        <w:rPr>
          <w:rFonts w:ascii="Times New Roman" w:hAnsi="Times New Roman" w:cs="Times New Roman"/>
          <w:sz w:val="28"/>
          <w:szCs w:val="28"/>
        </w:rPr>
        <w:t>політичного порядку впливає на розвиток антиправової свідомості як панівного класу, так і решти суспільства, сприяє утвердженню партикулярних норм замість універсальних.</w:t>
      </w:r>
      <w:r w:rsidRPr="00E80A6D">
        <w:rPr>
          <w:rFonts w:ascii="Times New Roman" w:hAnsi="Times New Roman" w:cs="Times New Roman"/>
          <w:sz w:val="28"/>
          <w:szCs w:val="28"/>
        </w:rPr>
        <w:t xml:space="preserve"> </w:t>
      </w:r>
      <w:r w:rsidRPr="00E80A6D">
        <w:rPr>
          <w:rFonts w:ascii="Times New Roman" w:hAnsi="Times New Roman" w:cs="Times New Roman"/>
          <w:sz w:val="28"/>
          <w:szCs w:val="28"/>
        </w:rPr>
        <w:t>Розглядаючи проблему еволюції політичної структури та поширення неформальних практик у пострадянських суспільствах, можна виокремити такі вектори розвитку суспільних трансформацій: 1) якщо дотримуватися оптимістичного погляду, то клановість можна тлумачити як проміжний стан між демократією (яка передбачає</w:t>
      </w:r>
      <w:r w:rsidRPr="00E80A6D">
        <w:rPr>
          <w:rFonts w:ascii="Times New Roman" w:hAnsi="Times New Roman" w:cs="Times New Roman"/>
          <w:sz w:val="28"/>
          <w:szCs w:val="28"/>
        </w:rPr>
        <w:t xml:space="preserve"> </w:t>
      </w:r>
      <w:r w:rsidRPr="00E80A6D">
        <w:rPr>
          <w:rFonts w:ascii="Times New Roman" w:hAnsi="Times New Roman" w:cs="Times New Roman"/>
          <w:sz w:val="28"/>
          <w:szCs w:val="28"/>
        </w:rPr>
        <w:t>формалізовані контракти) і повним пануванням вертикальних неототалітарних або авторитарних структур. Ця форма може бути ефективною за певних історико</w:t>
      </w:r>
      <w:r w:rsidRPr="00E80A6D">
        <w:rPr>
          <w:rFonts w:ascii="Times New Roman" w:hAnsi="Times New Roman" w:cs="Times New Roman"/>
          <w:sz w:val="28"/>
          <w:szCs w:val="28"/>
        </w:rPr>
        <w:t>інституціональних умов, які відзначаються невизначеністю або набувають транзитивного характеру. В суспільствах, де формальні правила гри ще не набули усталеності, клани сприяють виникненню взаємності і консенсусу без формалізації відносин. Родинно</w:t>
      </w:r>
      <w:r w:rsidRPr="00E80A6D">
        <w:rPr>
          <w:rFonts w:ascii="Times New Roman" w:hAnsi="Times New Roman" w:cs="Times New Roman"/>
          <w:sz w:val="28"/>
          <w:szCs w:val="28"/>
        </w:rPr>
        <w:t>кланові стратегії з’являються як засіб адаптації до недостатньо розвинених ринкових та демократичних інститутів, в умовах нерозробленості правил обміну і контролю. Вірогідно, з подальшою формалізацією відносин у суспільстві, формуванням соціального капіталу в горизонтальних мережах завдяки, у першу чергу, ефективності інститутів, за рахунок повільних змін у неформальних практиках станеться перехід до утвердження демократичних практик, позитивного поєднання горизонтальних і вертикальних мереж; 2) виникає ситуація, коли за фасадом демократичних інституціональних структур неформальні практики у вертикальних мережах набувають сталості, здійснюється консолідація певного соціально</w:t>
      </w:r>
      <w:r w:rsidRPr="00E80A6D">
        <w:rPr>
          <w:rFonts w:ascii="Times New Roman" w:hAnsi="Times New Roman" w:cs="Times New Roman"/>
          <w:sz w:val="28"/>
          <w:szCs w:val="28"/>
        </w:rPr>
        <w:t>політичного порядку за принципом домінування ієрархічних структур. Тобто, формується новий різновид авторитаризму, в якому блокується розвиток горизонтальних мереж і громадянська солідарність. За умов соціально</w:t>
      </w:r>
      <w:r w:rsidRPr="00E80A6D">
        <w:rPr>
          <w:rFonts w:ascii="Times New Roman" w:hAnsi="Times New Roman" w:cs="Times New Roman"/>
          <w:sz w:val="28"/>
          <w:szCs w:val="28"/>
        </w:rPr>
        <w:t>економічної або іншої кризи вірогідним може бути сценарій відторгнення демократичних інститутів.</w:t>
      </w:r>
    </w:p>
    <w:p w:rsidR="00811159" w:rsidRPr="00E80A6D" w:rsidRDefault="00811159" w:rsidP="00E80A6D">
      <w:pPr>
        <w:ind w:firstLine="709"/>
        <w:jc w:val="both"/>
        <w:rPr>
          <w:rFonts w:ascii="Times New Roman" w:hAnsi="Times New Roman" w:cs="Times New Roman"/>
          <w:sz w:val="28"/>
          <w:szCs w:val="28"/>
        </w:rPr>
      </w:pPr>
      <w:r w:rsidRPr="00E80A6D">
        <w:rPr>
          <w:rFonts w:ascii="Times New Roman" w:hAnsi="Times New Roman" w:cs="Times New Roman"/>
          <w:sz w:val="28"/>
          <w:szCs w:val="28"/>
        </w:rPr>
        <w:t>Тенденція до руйнування клієнтелістських практик вимагає відкритої економіки, чесної конкуренції, розвитку горизонтальних мереж громадянського суспільства, зростання соціального капіталу, тобто інституціоналізації довіри і моралі в суспільстві. Аналізуючи потенціал українського суспільства стосовно реалізації першого вектора розвитку трансформаційного процесу, зазначимо, що формування усталених горизонтальних мереж громадянської активності та відтворення культури довіри, знищеної значною мірою також і наслідками соціально</w:t>
      </w:r>
      <w:r w:rsidRPr="00E80A6D">
        <w:rPr>
          <w:rFonts w:ascii="Times New Roman" w:hAnsi="Times New Roman" w:cs="Times New Roman"/>
          <w:sz w:val="28"/>
          <w:szCs w:val="28"/>
        </w:rPr>
        <w:t> економічного й політичного реформування (згадаймо піраміди на кшталт МММ, несправедливу, м’яко кажучи, приватизацію тощо), виявляється дуже складним завданням. Адже клієнтурні та корупційні практики здатні до самовідтворення, оскільки повсякденне життя громадян залежить від цих патрон</w:t>
      </w:r>
      <w:r w:rsidRPr="00E80A6D">
        <w:rPr>
          <w:rFonts w:ascii="Times New Roman" w:hAnsi="Times New Roman" w:cs="Times New Roman"/>
          <w:sz w:val="28"/>
          <w:szCs w:val="28"/>
        </w:rPr>
        <w:t>клієнтських зв’язків. Утворенню довіри як складової соціального капіталу і формуванню громадських асоціацій на основі взаємного співробітництва сприятиме цілісна державна політика, яка має передбачати, по</w:t>
      </w:r>
      <w:r w:rsidRPr="00E80A6D">
        <w:rPr>
          <w:rFonts w:ascii="Times New Roman" w:hAnsi="Times New Roman" w:cs="Times New Roman"/>
          <w:sz w:val="28"/>
          <w:szCs w:val="28"/>
        </w:rPr>
        <w:t>перше, утвердження верховенства права в суспільстві та створення однакових для всіх „правил гри” в економічній сфері; по</w:t>
      </w:r>
      <w:r w:rsidRPr="00E80A6D">
        <w:rPr>
          <w:rFonts w:ascii="Times New Roman" w:hAnsi="Times New Roman" w:cs="Times New Roman"/>
          <w:sz w:val="28"/>
          <w:szCs w:val="28"/>
        </w:rPr>
        <w:t>друге, створення незалежної судової системи та прозорість і підзвітність демократичних інститутів; по</w:t>
      </w:r>
      <w:r w:rsidRPr="00E80A6D">
        <w:rPr>
          <w:rFonts w:ascii="Times New Roman" w:hAnsi="Times New Roman" w:cs="Times New Roman"/>
          <w:sz w:val="28"/>
          <w:szCs w:val="28"/>
        </w:rPr>
        <w:t>третє, заохочення до співробітництва громадян у межах окремих громад або соціальних груп та поширення цих практик у суспільстві; далі – сприяння</w:t>
      </w:r>
      <w:r w:rsidRPr="00E80A6D">
        <w:rPr>
          <w:rFonts w:ascii="Times New Roman" w:hAnsi="Times New Roman" w:cs="Times New Roman"/>
          <w:sz w:val="28"/>
          <w:szCs w:val="28"/>
        </w:rPr>
        <w:t xml:space="preserve"> </w:t>
      </w:r>
      <w:r w:rsidRPr="00E80A6D">
        <w:rPr>
          <w:rFonts w:ascii="Times New Roman" w:hAnsi="Times New Roman" w:cs="Times New Roman"/>
          <w:sz w:val="28"/>
          <w:szCs w:val="28"/>
        </w:rPr>
        <w:t>„третьому сектору”, НДО у формуванні ефективних механізмів суспільного діалогу, зворотного зв’язку суспільства і влади, врахування громадської думки при формуванні політики і на цій основі здійснення контролю за владою; і, нарешті, запобігання поширенню партикулярних ідеологій, пов’язаних з ідеологією максимізації прибутку і влади, що характерно для кланових локальних мереж. Через механізми державної символічної політики сприяти культивуванню моральних та національно</w:t>
      </w:r>
      <w:r w:rsidRPr="00E80A6D">
        <w:rPr>
          <w:rFonts w:ascii="Times New Roman" w:hAnsi="Times New Roman" w:cs="Times New Roman"/>
          <w:sz w:val="28"/>
          <w:szCs w:val="28"/>
        </w:rPr>
        <w:t> демократичних цінностей, в основі яких будуть покладені потреби та інтереси громадян і проект „технології будування спільного майбутнього”. Події „помаранчевої революції” продемонстрували здатність українського суспільства до широкої групової солідарності, яка є основою усвідомлення спільності індивідуального й колективного блага, що виявилася в ефективних діях протесту. Протестний характер революції свідчить якраз про небажання жити в умовах постійної адаптації до клієнтелістських „правил гри”, в умовах подвійної інституціоналізації, де панують корупція, фальсифікація й тіньові угоди. Саме тому в гаслах революції утвердження політики національних інтересів органічно поєднувалося з ідеєю демократичного оновлення суспільства. Після тих подій соціологічні служби зафіксували зростання певного рівня інституціональної довіри, який можна розглядати як авансову довіру, що грунтується на очікуванні справді позитивних змін у всіх сферах життя. „Помаранчева революція” довела, що громадянське суспільство має потенційну можливість виробляти переговорну силу як ефективний засіб запобігання створенню „вертикального контракту” (недемократичних правил консолідації еліт), який закріплює домінування кланових груп, що перерозподіляють ресурси в суспільстві. Вертикальні мережі виникають, коли пересічний громадянин вважає, що може вирішити свої проблеми тільки через „гору” і не може їх вирішити з людиною, яка поруч. Але стабільно й цивілізовано переговорна сила може вплинути на політику і вертикальну ієрархію через створення організацій та асоціацій для захисту спільних інтересів, що має позначитися на кількості й активності перерозподільчих кланових груп в країні та на створених ними неформальних „правилах гри”. Сьогодні ще дуже важко оцінити потенціал розвитку горизонтальних мереж і соціального капіталу, а тим більше – потенціал трансформації його природи в нові соціокультурні форми. Щодо цього не дуже оптимістичним видається висновок Є. Головахи про феномен „аморальності більшості” [22, с. 463]. Йдеться про те, що більшість опитуваних громадян оцінює інших людей як непорядних, не вартих довіри. Ці дані розглядаються як свідчення аморальності і соціального цинізму. Та, на нашу думку, можлива й інша інтерпретація цих даних. І. Попова вважає, що їх можна розглядати як свідчення того, що в</w:t>
      </w:r>
      <w:r w:rsidRPr="00E80A6D">
        <w:rPr>
          <w:rFonts w:ascii="Times New Roman" w:hAnsi="Times New Roman" w:cs="Times New Roman"/>
          <w:sz w:val="28"/>
          <w:szCs w:val="28"/>
        </w:rPr>
        <w:t xml:space="preserve"> </w:t>
      </w:r>
      <w:r w:rsidR="00E80A6D" w:rsidRPr="00E80A6D">
        <w:rPr>
          <w:rFonts w:ascii="Times New Roman" w:hAnsi="Times New Roman" w:cs="Times New Roman"/>
          <w:sz w:val="28"/>
          <w:szCs w:val="28"/>
        </w:rPr>
        <w:t>уявленнях наших співвітчизників і досі панують певні символи</w:t>
      </w:r>
      <w:r w:rsidR="00E80A6D" w:rsidRPr="00E80A6D">
        <w:rPr>
          <w:rFonts w:ascii="Times New Roman" w:hAnsi="Times New Roman" w:cs="Times New Roman"/>
          <w:sz w:val="28"/>
          <w:szCs w:val="28"/>
        </w:rPr>
        <w:t>критерії, котрі дають змогу засуджувати невідповідну цим ідеям практику, які увиразнюють негативні оцінки реальних практик. Автор підкреслює, що згадані оцінки стосуються не власної поведінки громадян, а поведінки „інших”. Певно, відповіді на аналогічні запитання стосовно самих опитуваних були б іншими, що, у свою чергу, мало б свідчити (з огляду на явище „каузальної атрибуції”), що зафіксовані в опитуванні властивості не належать до числа схвалюваних, визнаних у ціннісно</w:t>
      </w:r>
      <w:r w:rsidR="00E80A6D" w:rsidRPr="00E80A6D">
        <w:rPr>
          <w:rFonts w:ascii="Times New Roman" w:hAnsi="Times New Roman" w:cs="Times New Roman"/>
          <w:sz w:val="28"/>
          <w:szCs w:val="28"/>
        </w:rPr>
        <w:t> нормативному контексті суспільства [23, с. 41]. При аналізі суб’єктивного боку тіньових практик у роботі ці дані розглядаються і як свідчення на користь того, що їх поширення відбувається всупереч не лише формальним правилам, а й неформальним, моральним та правовим уявленням, культурним цінностям і нормам українського суспільства. Вони суперечать уявленням про належне, бажане і справедливе, уявленням про „суспільне благо” та „загальний інтерес”. Результати цих даних, а також показники високого рівня підтримки демократичних свобод і можливості контролю влади серед українських громадян дає надію на те, що в нашому суспільстві існують моральні й ціннісні фактори для подолання клієнтелістських практик і формування горизонтальних мереж громадянського суспільства.</w:t>
      </w:r>
    </w:p>
    <w:p w:rsidR="00E80A6D" w:rsidRPr="00E80A6D" w:rsidRDefault="00E80A6D" w:rsidP="00E80A6D">
      <w:pPr>
        <w:ind w:firstLine="709"/>
        <w:jc w:val="both"/>
        <w:rPr>
          <w:rFonts w:ascii="Times New Roman" w:hAnsi="Times New Roman" w:cs="Times New Roman"/>
          <w:sz w:val="28"/>
          <w:szCs w:val="28"/>
        </w:rPr>
      </w:pPr>
      <w:r w:rsidRPr="00E80A6D">
        <w:rPr>
          <w:rFonts w:ascii="Times New Roman" w:hAnsi="Times New Roman" w:cs="Times New Roman"/>
          <w:sz w:val="28"/>
          <w:szCs w:val="28"/>
        </w:rPr>
        <w:t xml:space="preserve">Література: </w:t>
      </w:r>
    </w:p>
    <w:p w:rsidR="00E80A6D" w:rsidRPr="00E80A6D" w:rsidRDefault="00E80A6D" w:rsidP="00E80A6D">
      <w:pPr>
        <w:ind w:firstLine="709"/>
        <w:jc w:val="both"/>
        <w:rPr>
          <w:rFonts w:ascii="Times New Roman" w:hAnsi="Times New Roman" w:cs="Times New Roman"/>
          <w:sz w:val="28"/>
          <w:szCs w:val="28"/>
        </w:rPr>
      </w:pPr>
      <w:r w:rsidRPr="00E80A6D">
        <w:rPr>
          <w:rFonts w:ascii="Times New Roman" w:hAnsi="Times New Roman" w:cs="Times New Roman"/>
          <w:sz w:val="28"/>
          <w:szCs w:val="28"/>
        </w:rPr>
        <w:t xml:space="preserve">1. Даугавет А. Б. Неформальные практики российской элиты. Апробация когнитивного похода // Полис. – 2003. </w:t>
      </w:r>
      <w:r w:rsidRPr="00E80A6D">
        <w:rPr>
          <w:rFonts w:ascii="Times New Roman" w:hAnsi="Times New Roman" w:cs="Times New Roman"/>
          <w:sz w:val="28"/>
          <w:szCs w:val="28"/>
        </w:rPr>
        <w:t xml:space="preserve"> №4. – С. 26 </w:t>
      </w:r>
      <w:r w:rsidRPr="00E80A6D">
        <w:rPr>
          <w:rFonts w:ascii="Times New Roman" w:hAnsi="Times New Roman" w:cs="Times New Roman"/>
          <w:sz w:val="28"/>
          <w:szCs w:val="28"/>
        </w:rPr>
        <w:t xml:space="preserve"> 38. </w:t>
      </w:r>
    </w:p>
    <w:p w:rsidR="00E80A6D" w:rsidRPr="00E80A6D" w:rsidRDefault="00E80A6D" w:rsidP="00E80A6D">
      <w:pPr>
        <w:ind w:firstLine="709"/>
        <w:jc w:val="both"/>
        <w:rPr>
          <w:rFonts w:ascii="Times New Roman" w:hAnsi="Times New Roman" w:cs="Times New Roman"/>
          <w:sz w:val="28"/>
          <w:szCs w:val="28"/>
        </w:rPr>
      </w:pPr>
      <w:r w:rsidRPr="00E80A6D">
        <w:rPr>
          <w:rFonts w:ascii="Times New Roman" w:hAnsi="Times New Roman" w:cs="Times New Roman"/>
          <w:sz w:val="28"/>
          <w:szCs w:val="28"/>
        </w:rPr>
        <w:t xml:space="preserve">2. Меркель В., Круассан А. Формальные и неформальные институты в дефектных демократиях // Полис. – 2002. </w:t>
      </w:r>
      <w:r w:rsidRPr="00E80A6D">
        <w:rPr>
          <w:rFonts w:ascii="Times New Roman" w:hAnsi="Times New Roman" w:cs="Times New Roman"/>
          <w:sz w:val="28"/>
          <w:szCs w:val="28"/>
        </w:rPr>
        <w:t xml:space="preserve"> №1. – С. 6 </w:t>
      </w:r>
      <w:r w:rsidRPr="00E80A6D">
        <w:rPr>
          <w:rFonts w:ascii="Times New Roman" w:hAnsi="Times New Roman" w:cs="Times New Roman"/>
          <w:sz w:val="28"/>
          <w:szCs w:val="28"/>
        </w:rPr>
        <w:t xml:space="preserve"> 17; №2. – С. 20 </w:t>
      </w:r>
      <w:r w:rsidRPr="00E80A6D">
        <w:rPr>
          <w:rFonts w:ascii="Times New Roman" w:hAnsi="Times New Roman" w:cs="Times New Roman"/>
          <w:sz w:val="28"/>
          <w:szCs w:val="28"/>
        </w:rPr>
        <w:t xml:space="preserve">30. </w:t>
      </w:r>
    </w:p>
    <w:p w:rsidR="00E80A6D" w:rsidRPr="00E80A6D" w:rsidRDefault="00E80A6D" w:rsidP="00E80A6D">
      <w:pPr>
        <w:ind w:firstLine="709"/>
        <w:jc w:val="both"/>
        <w:rPr>
          <w:rFonts w:ascii="Times New Roman" w:hAnsi="Times New Roman" w:cs="Times New Roman"/>
          <w:sz w:val="28"/>
          <w:szCs w:val="28"/>
          <w:lang w:val="en-US"/>
        </w:rPr>
      </w:pPr>
      <w:r w:rsidRPr="00E80A6D">
        <w:rPr>
          <w:rFonts w:ascii="Times New Roman" w:hAnsi="Times New Roman" w:cs="Times New Roman"/>
          <w:sz w:val="28"/>
          <w:szCs w:val="28"/>
        </w:rPr>
        <w:t xml:space="preserve">3. Гельман В. Я. Институциональное строительство и неформальные институты в современной российской политике // Полис. – 2003. </w:t>
      </w:r>
      <w:r w:rsidRPr="00E80A6D">
        <w:rPr>
          <w:rFonts w:ascii="Times New Roman" w:hAnsi="Times New Roman" w:cs="Times New Roman"/>
          <w:sz w:val="28"/>
          <w:szCs w:val="28"/>
        </w:rPr>
        <w:t xml:space="preserve"> </w:t>
      </w:r>
      <w:r w:rsidRPr="00E80A6D">
        <w:rPr>
          <w:rFonts w:ascii="Times New Roman" w:hAnsi="Times New Roman" w:cs="Times New Roman"/>
          <w:sz w:val="28"/>
          <w:szCs w:val="28"/>
          <w:lang w:val="en-US"/>
        </w:rPr>
        <w:t xml:space="preserve">№4. – </w:t>
      </w:r>
      <w:r w:rsidRPr="00E80A6D">
        <w:rPr>
          <w:rFonts w:ascii="Times New Roman" w:hAnsi="Times New Roman" w:cs="Times New Roman"/>
          <w:sz w:val="28"/>
          <w:szCs w:val="28"/>
        </w:rPr>
        <w:t>С</w:t>
      </w:r>
      <w:r w:rsidRPr="00E80A6D">
        <w:rPr>
          <w:rFonts w:ascii="Times New Roman" w:hAnsi="Times New Roman" w:cs="Times New Roman"/>
          <w:sz w:val="28"/>
          <w:szCs w:val="28"/>
          <w:lang w:val="en-US"/>
        </w:rPr>
        <w:t xml:space="preserve">. 6 </w:t>
      </w:r>
      <w:r w:rsidRPr="00E80A6D">
        <w:rPr>
          <w:rFonts w:ascii="Times New Roman" w:hAnsi="Times New Roman" w:cs="Times New Roman"/>
          <w:sz w:val="28"/>
          <w:szCs w:val="28"/>
          <w:lang w:val="en-US"/>
        </w:rPr>
        <w:t xml:space="preserve"> 25. </w:t>
      </w:r>
    </w:p>
    <w:p w:rsidR="00E80A6D" w:rsidRPr="00E80A6D" w:rsidRDefault="00E80A6D" w:rsidP="00E80A6D">
      <w:pPr>
        <w:ind w:firstLine="709"/>
        <w:jc w:val="both"/>
        <w:rPr>
          <w:rFonts w:ascii="Times New Roman" w:hAnsi="Times New Roman" w:cs="Times New Roman"/>
          <w:sz w:val="28"/>
          <w:szCs w:val="28"/>
          <w:lang w:val="en-US"/>
        </w:rPr>
      </w:pPr>
      <w:r w:rsidRPr="00E80A6D">
        <w:rPr>
          <w:rFonts w:ascii="Times New Roman" w:hAnsi="Times New Roman" w:cs="Times New Roman"/>
          <w:sz w:val="28"/>
          <w:szCs w:val="28"/>
          <w:lang w:val="en-US"/>
        </w:rPr>
        <w:t xml:space="preserve">4. Simon H. Models of Man – N.Y., 1957. </w:t>
      </w:r>
    </w:p>
    <w:p w:rsidR="00E80A6D" w:rsidRPr="00E80A6D" w:rsidRDefault="00E80A6D" w:rsidP="00E80A6D">
      <w:pPr>
        <w:ind w:firstLine="709"/>
        <w:jc w:val="both"/>
        <w:rPr>
          <w:rFonts w:ascii="Times New Roman" w:hAnsi="Times New Roman" w:cs="Times New Roman"/>
          <w:sz w:val="28"/>
          <w:szCs w:val="28"/>
          <w:lang w:val="en-US"/>
        </w:rPr>
      </w:pPr>
      <w:r w:rsidRPr="00E80A6D">
        <w:rPr>
          <w:rFonts w:ascii="Times New Roman" w:hAnsi="Times New Roman" w:cs="Times New Roman"/>
          <w:sz w:val="28"/>
          <w:szCs w:val="28"/>
          <w:lang w:val="en-US"/>
        </w:rPr>
        <w:t>5. H</w:t>
      </w:r>
      <w:r w:rsidRPr="00E80A6D">
        <w:rPr>
          <w:rFonts w:ascii="Times New Roman" w:hAnsi="Times New Roman" w:cs="Times New Roman"/>
          <w:sz w:val="28"/>
          <w:szCs w:val="28"/>
        </w:rPr>
        <w:t>а</w:t>
      </w:r>
      <w:r w:rsidRPr="00E80A6D">
        <w:rPr>
          <w:rFonts w:ascii="Times New Roman" w:hAnsi="Times New Roman" w:cs="Times New Roman"/>
          <w:sz w:val="28"/>
          <w:szCs w:val="28"/>
          <w:lang w:val="en-US"/>
        </w:rPr>
        <w:t xml:space="preserve">kanson H., Johanson J. The Network as a Governance Structure: Interfirm Cooperation Beyond Markets and Hierarchies – Organizing Organizations. Bergen, 1998. </w:t>
      </w:r>
    </w:p>
    <w:p w:rsidR="00E80A6D" w:rsidRPr="00E80A6D" w:rsidRDefault="00E80A6D" w:rsidP="00E80A6D">
      <w:pPr>
        <w:ind w:firstLine="709"/>
        <w:jc w:val="both"/>
        <w:rPr>
          <w:rFonts w:ascii="Times New Roman" w:hAnsi="Times New Roman" w:cs="Times New Roman"/>
          <w:sz w:val="28"/>
          <w:szCs w:val="28"/>
          <w:lang w:val="en-US"/>
        </w:rPr>
      </w:pPr>
      <w:r w:rsidRPr="00E80A6D">
        <w:rPr>
          <w:rFonts w:ascii="Times New Roman" w:hAnsi="Times New Roman" w:cs="Times New Roman"/>
          <w:sz w:val="28"/>
          <w:szCs w:val="28"/>
          <w:lang w:val="en-US"/>
        </w:rPr>
        <w:t xml:space="preserve">6. Mizruchi M. Social Network Analysis: Recent Achievements and Current Controversies // Acta Sociologica. – 1994. – Vol. 37. </w:t>
      </w:r>
    </w:p>
    <w:p w:rsidR="00E80A6D" w:rsidRPr="00E80A6D" w:rsidRDefault="00E80A6D" w:rsidP="00E80A6D">
      <w:pPr>
        <w:ind w:firstLine="709"/>
        <w:jc w:val="both"/>
        <w:rPr>
          <w:rFonts w:ascii="Times New Roman" w:hAnsi="Times New Roman" w:cs="Times New Roman"/>
          <w:sz w:val="28"/>
          <w:szCs w:val="28"/>
        </w:rPr>
      </w:pPr>
      <w:r w:rsidRPr="00E80A6D">
        <w:rPr>
          <w:rFonts w:ascii="Times New Roman" w:hAnsi="Times New Roman" w:cs="Times New Roman"/>
          <w:sz w:val="28"/>
          <w:szCs w:val="28"/>
          <w:lang w:val="en-US"/>
        </w:rPr>
        <w:t xml:space="preserve">7. Bourdieu, P. The forms of capital // Handbook of theory and research for sociology of Education / Ed. by J. Richardson. </w:t>
      </w:r>
      <w:r w:rsidRPr="00E80A6D">
        <w:rPr>
          <w:rFonts w:ascii="Times New Roman" w:hAnsi="Times New Roman" w:cs="Times New Roman"/>
          <w:sz w:val="28"/>
          <w:szCs w:val="28"/>
          <w:lang w:val="en-US"/>
        </w:rPr>
        <w:t xml:space="preserve"> </w:t>
      </w:r>
      <w:r w:rsidRPr="00E80A6D">
        <w:rPr>
          <w:rFonts w:ascii="Times New Roman" w:hAnsi="Times New Roman" w:cs="Times New Roman"/>
          <w:sz w:val="28"/>
          <w:szCs w:val="28"/>
        </w:rPr>
        <w:t xml:space="preserve">New York: Greenwood Press, 1983. </w:t>
      </w:r>
      <w:r w:rsidRPr="00E80A6D">
        <w:rPr>
          <w:rFonts w:ascii="Times New Roman" w:hAnsi="Times New Roman" w:cs="Times New Roman"/>
          <w:sz w:val="28"/>
          <w:szCs w:val="28"/>
        </w:rPr>
        <w:t xml:space="preserve"> P. 241 </w:t>
      </w:r>
      <w:r w:rsidRPr="00E80A6D">
        <w:rPr>
          <w:rFonts w:ascii="Times New Roman" w:hAnsi="Times New Roman" w:cs="Times New Roman"/>
          <w:sz w:val="28"/>
          <w:szCs w:val="28"/>
        </w:rPr>
        <w:t xml:space="preserve"> 258. </w:t>
      </w:r>
    </w:p>
    <w:p w:rsidR="00E80A6D" w:rsidRPr="00E80A6D" w:rsidRDefault="00E80A6D" w:rsidP="00E80A6D">
      <w:pPr>
        <w:ind w:firstLine="709"/>
        <w:jc w:val="both"/>
        <w:rPr>
          <w:rFonts w:ascii="Times New Roman" w:hAnsi="Times New Roman" w:cs="Times New Roman"/>
          <w:sz w:val="28"/>
          <w:szCs w:val="28"/>
        </w:rPr>
      </w:pPr>
      <w:r w:rsidRPr="00E80A6D">
        <w:rPr>
          <w:rFonts w:ascii="Times New Roman" w:hAnsi="Times New Roman" w:cs="Times New Roman"/>
          <w:sz w:val="28"/>
          <w:szCs w:val="28"/>
        </w:rPr>
        <w:t xml:space="preserve">8. Коулман Дж. Капитал социальный и человеческий // Общественные науки и современность – 2001. </w:t>
      </w:r>
      <w:r w:rsidRPr="00E80A6D">
        <w:rPr>
          <w:rFonts w:ascii="Times New Roman" w:hAnsi="Times New Roman" w:cs="Times New Roman"/>
          <w:sz w:val="28"/>
          <w:szCs w:val="28"/>
        </w:rPr>
        <w:t xml:space="preserve"> №3. – С. 122 </w:t>
      </w:r>
      <w:r w:rsidRPr="00E80A6D">
        <w:rPr>
          <w:rFonts w:ascii="Times New Roman" w:hAnsi="Times New Roman" w:cs="Times New Roman"/>
          <w:sz w:val="28"/>
          <w:szCs w:val="28"/>
        </w:rPr>
        <w:t xml:space="preserve"> 139. </w:t>
      </w:r>
    </w:p>
    <w:p w:rsidR="00E80A6D" w:rsidRPr="00E80A6D" w:rsidRDefault="00E80A6D" w:rsidP="00E80A6D">
      <w:pPr>
        <w:ind w:firstLine="709"/>
        <w:jc w:val="both"/>
        <w:rPr>
          <w:rFonts w:ascii="Times New Roman" w:hAnsi="Times New Roman" w:cs="Times New Roman"/>
          <w:sz w:val="28"/>
          <w:szCs w:val="28"/>
        </w:rPr>
      </w:pPr>
      <w:r w:rsidRPr="00E80A6D">
        <w:rPr>
          <w:rFonts w:ascii="Times New Roman" w:hAnsi="Times New Roman" w:cs="Times New Roman"/>
          <w:sz w:val="28"/>
          <w:szCs w:val="28"/>
        </w:rPr>
        <w:t>9. Патнем Р., Леонарді Р., Нанетті Р. Й. Творення демократії. Традиції</w:t>
      </w:r>
    </w:p>
    <w:p w:rsidR="00E80A6D" w:rsidRPr="00E80A6D" w:rsidRDefault="00E80A6D" w:rsidP="00E80A6D">
      <w:pPr>
        <w:ind w:firstLine="709"/>
        <w:jc w:val="both"/>
        <w:rPr>
          <w:rFonts w:ascii="Times New Roman" w:hAnsi="Times New Roman" w:cs="Times New Roman"/>
          <w:sz w:val="28"/>
          <w:szCs w:val="28"/>
        </w:rPr>
      </w:pPr>
      <w:r w:rsidRPr="00E80A6D">
        <w:rPr>
          <w:rFonts w:ascii="Times New Roman" w:hAnsi="Times New Roman" w:cs="Times New Roman"/>
          <w:sz w:val="28"/>
          <w:szCs w:val="28"/>
        </w:rPr>
        <w:t xml:space="preserve">10. Барсукова С. Ю. Реципрокные взаимодействия. Сущность, функции, специфика // Социс. – 2004. </w:t>
      </w:r>
      <w:r w:rsidRPr="00E80A6D">
        <w:rPr>
          <w:rFonts w:ascii="Times New Roman" w:hAnsi="Times New Roman" w:cs="Times New Roman"/>
          <w:sz w:val="28"/>
          <w:szCs w:val="28"/>
        </w:rPr>
        <w:t xml:space="preserve"> №9. – С. 20 </w:t>
      </w:r>
      <w:r w:rsidRPr="00E80A6D">
        <w:rPr>
          <w:rFonts w:ascii="Times New Roman" w:hAnsi="Times New Roman" w:cs="Times New Roman"/>
          <w:sz w:val="28"/>
          <w:szCs w:val="28"/>
        </w:rPr>
        <w:t xml:space="preserve"> 30. </w:t>
      </w:r>
    </w:p>
    <w:p w:rsidR="00E80A6D" w:rsidRPr="00E80A6D" w:rsidRDefault="00E80A6D" w:rsidP="00E80A6D">
      <w:pPr>
        <w:ind w:firstLine="709"/>
        <w:jc w:val="both"/>
        <w:rPr>
          <w:rFonts w:ascii="Times New Roman" w:hAnsi="Times New Roman" w:cs="Times New Roman"/>
          <w:sz w:val="28"/>
          <w:szCs w:val="28"/>
        </w:rPr>
      </w:pPr>
      <w:r w:rsidRPr="00E80A6D">
        <w:rPr>
          <w:rFonts w:ascii="Times New Roman" w:hAnsi="Times New Roman" w:cs="Times New Roman"/>
          <w:sz w:val="28"/>
          <w:szCs w:val="28"/>
        </w:rPr>
        <w:t xml:space="preserve">11. Олейник А. Н. Модель сетевого капитализма // Вопросы экономики. – 2003. </w:t>
      </w:r>
      <w:r w:rsidRPr="00E80A6D">
        <w:rPr>
          <w:rFonts w:ascii="Times New Roman" w:hAnsi="Times New Roman" w:cs="Times New Roman"/>
          <w:sz w:val="28"/>
          <w:szCs w:val="28"/>
        </w:rPr>
        <w:t xml:space="preserve"> №8. – С. 132 </w:t>
      </w:r>
      <w:r w:rsidRPr="00E80A6D">
        <w:rPr>
          <w:rFonts w:ascii="Times New Roman" w:hAnsi="Times New Roman" w:cs="Times New Roman"/>
          <w:sz w:val="28"/>
          <w:szCs w:val="28"/>
        </w:rPr>
        <w:t xml:space="preserve"> 149. 12. Афанасьев М. Невыносимая слабость государства // Отечественные записки – 2004. – №2. </w:t>
      </w:r>
      <w:r w:rsidRPr="00E80A6D">
        <w:rPr>
          <w:rFonts w:ascii="Times New Roman" w:hAnsi="Times New Roman" w:cs="Times New Roman"/>
          <w:sz w:val="28"/>
          <w:szCs w:val="28"/>
        </w:rPr>
        <w:t xml:space="preserve"> www. strana – oz. ru /? numid = 17&amp; article. – 822 # s * </w:t>
      </w:r>
    </w:p>
    <w:p w:rsidR="00E80A6D" w:rsidRPr="00E80A6D" w:rsidRDefault="00E80A6D" w:rsidP="00E80A6D">
      <w:pPr>
        <w:ind w:firstLine="709"/>
        <w:jc w:val="both"/>
        <w:rPr>
          <w:rFonts w:ascii="Times New Roman" w:hAnsi="Times New Roman" w:cs="Times New Roman"/>
          <w:sz w:val="28"/>
          <w:szCs w:val="28"/>
        </w:rPr>
      </w:pPr>
      <w:r w:rsidRPr="00E80A6D">
        <w:rPr>
          <w:rFonts w:ascii="Times New Roman" w:hAnsi="Times New Roman" w:cs="Times New Roman"/>
          <w:sz w:val="28"/>
          <w:szCs w:val="28"/>
        </w:rPr>
        <w:t xml:space="preserve">13. Степаненко В. Суспільство громадянське і „негромадянське”: дискурси та моделі взаємодії // Українське суспільство 1994 </w:t>
      </w:r>
      <w:r w:rsidRPr="00E80A6D">
        <w:rPr>
          <w:rFonts w:ascii="Times New Roman" w:hAnsi="Times New Roman" w:cs="Times New Roman"/>
          <w:sz w:val="28"/>
          <w:szCs w:val="28"/>
        </w:rPr>
        <w:t xml:space="preserve"> 2004. Моніторинг соціальних змін / За ред. д. е. н. В. Ворони, д. соц. н. М. Шульги – К.: Інститут соціології НАН України, 2004 </w:t>
      </w:r>
      <w:r w:rsidRPr="00E80A6D">
        <w:rPr>
          <w:rFonts w:ascii="Times New Roman" w:hAnsi="Times New Roman" w:cs="Times New Roman"/>
          <w:sz w:val="28"/>
          <w:szCs w:val="28"/>
        </w:rPr>
        <w:t xml:space="preserve"> С. 198 – 211. </w:t>
      </w:r>
    </w:p>
    <w:p w:rsidR="00E80A6D" w:rsidRPr="00E80A6D" w:rsidRDefault="00E80A6D" w:rsidP="00E80A6D">
      <w:pPr>
        <w:ind w:firstLine="709"/>
        <w:jc w:val="both"/>
        <w:rPr>
          <w:rFonts w:ascii="Times New Roman" w:hAnsi="Times New Roman" w:cs="Times New Roman"/>
          <w:sz w:val="28"/>
          <w:szCs w:val="28"/>
        </w:rPr>
      </w:pPr>
      <w:r w:rsidRPr="00E80A6D">
        <w:rPr>
          <w:rFonts w:ascii="Times New Roman" w:hAnsi="Times New Roman" w:cs="Times New Roman"/>
          <w:sz w:val="28"/>
          <w:szCs w:val="28"/>
        </w:rPr>
        <w:t>14. Степаненко В. Социальный капитал в социологической перспективе: теоретико</w:t>
      </w:r>
      <w:r w:rsidRPr="00E80A6D">
        <w:rPr>
          <w:rFonts w:ascii="Times New Roman" w:hAnsi="Times New Roman" w:cs="Times New Roman"/>
          <w:sz w:val="28"/>
          <w:szCs w:val="28"/>
        </w:rPr>
        <w:t xml:space="preserve">методологические аспекты исследования // Соціологія: теорія, методи, маркетинг – 2004. </w:t>
      </w:r>
      <w:r w:rsidRPr="00E80A6D">
        <w:rPr>
          <w:rFonts w:ascii="Times New Roman" w:hAnsi="Times New Roman" w:cs="Times New Roman"/>
          <w:sz w:val="28"/>
          <w:szCs w:val="28"/>
        </w:rPr>
        <w:t xml:space="preserve"> №2. – С. 24 </w:t>
      </w:r>
      <w:r w:rsidRPr="00E80A6D">
        <w:rPr>
          <w:rFonts w:ascii="Times New Roman" w:hAnsi="Times New Roman" w:cs="Times New Roman"/>
          <w:sz w:val="28"/>
          <w:szCs w:val="28"/>
        </w:rPr>
        <w:t xml:space="preserve"> 41. </w:t>
      </w:r>
    </w:p>
    <w:p w:rsidR="00E80A6D" w:rsidRPr="00E80A6D" w:rsidRDefault="00E80A6D" w:rsidP="00E80A6D">
      <w:pPr>
        <w:ind w:firstLine="709"/>
        <w:jc w:val="both"/>
        <w:rPr>
          <w:rFonts w:ascii="Times New Roman" w:hAnsi="Times New Roman" w:cs="Times New Roman"/>
          <w:sz w:val="28"/>
          <w:szCs w:val="28"/>
        </w:rPr>
      </w:pPr>
      <w:r w:rsidRPr="00E80A6D">
        <w:rPr>
          <w:rFonts w:ascii="Times New Roman" w:hAnsi="Times New Roman" w:cs="Times New Roman"/>
          <w:sz w:val="28"/>
          <w:szCs w:val="28"/>
        </w:rPr>
        <w:t xml:space="preserve">15. Паніна Н. В. Українське суспільство 1994 </w:t>
      </w:r>
      <w:r w:rsidRPr="00E80A6D">
        <w:rPr>
          <w:rFonts w:ascii="Times New Roman" w:hAnsi="Times New Roman" w:cs="Times New Roman"/>
          <w:sz w:val="28"/>
          <w:szCs w:val="28"/>
        </w:rPr>
        <w:t xml:space="preserve"> 2005: Соціологічний моніторинг </w:t>
      </w:r>
      <w:r w:rsidRPr="00E80A6D">
        <w:rPr>
          <w:rFonts w:ascii="Times New Roman" w:hAnsi="Times New Roman" w:cs="Times New Roman"/>
          <w:sz w:val="28"/>
          <w:szCs w:val="28"/>
        </w:rPr>
        <w:t xml:space="preserve"> К .: ТОВ „Видавництво Софія”, 2005. </w:t>
      </w:r>
    </w:p>
    <w:p w:rsidR="00E80A6D" w:rsidRPr="00E80A6D" w:rsidRDefault="00E80A6D" w:rsidP="00E80A6D">
      <w:pPr>
        <w:ind w:firstLine="709"/>
        <w:jc w:val="both"/>
        <w:rPr>
          <w:rFonts w:ascii="Times New Roman" w:hAnsi="Times New Roman" w:cs="Times New Roman"/>
          <w:sz w:val="28"/>
          <w:szCs w:val="28"/>
        </w:rPr>
      </w:pPr>
      <w:r w:rsidRPr="00E80A6D">
        <w:rPr>
          <w:rFonts w:ascii="Times New Roman" w:hAnsi="Times New Roman" w:cs="Times New Roman"/>
          <w:sz w:val="28"/>
          <w:szCs w:val="28"/>
        </w:rPr>
        <w:t xml:space="preserve">16. Олейник А. Институциональная экономика – М., 2000. </w:t>
      </w:r>
    </w:p>
    <w:p w:rsidR="00E80A6D" w:rsidRPr="00E80A6D" w:rsidRDefault="00E80A6D" w:rsidP="00E80A6D">
      <w:pPr>
        <w:ind w:firstLine="709"/>
        <w:jc w:val="both"/>
        <w:rPr>
          <w:rFonts w:ascii="Times New Roman" w:hAnsi="Times New Roman" w:cs="Times New Roman"/>
          <w:sz w:val="28"/>
          <w:szCs w:val="28"/>
          <w:lang w:val="en-US"/>
        </w:rPr>
      </w:pPr>
      <w:r w:rsidRPr="00E80A6D">
        <w:rPr>
          <w:rFonts w:ascii="Times New Roman" w:hAnsi="Times New Roman" w:cs="Times New Roman"/>
          <w:sz w:val="28"/>
          <w:szCs w:val="28"/>
          <w:lang w:val="en-US"/>
        </w:rPr>
        <w:t xml:space="preserve">17. Wedel J. R. Collision and Collusion: F Strange Case of Western Aid to Eastern Europe. / N. Y.: St. Martin’s Press, 1998. </w:t>
      </w:r>
    </w:p>
    <w:p w:rsidR="00E80A6D" w:rsidRPr="00E80A6D" w:rsidRDefault="00E80A6D" w:rsidP="00E80A6D">
      <w:pPr>
        <w:ind w:firstLine="709"/>
        <w:jc w:val="both"/>
        <w:rPr>
          <w:rFonts w:ascii="Times New Roman" w:hAnsi="Times New Roman" w:cs="Times New Roman"/>
          <w:sz w:val="28"/>
          <w:szCs w:val="28"/>
        </w:rPr>
      </w:pPr>
      <w:r w:rsidRPr="00E80A6D">
        <w:rPr>
          <w:rFonts w:ascii="Times New Roman" w:hAnsi="Times New Roman" w:cs="Times New Roman"/>
          <w:sz w:val="28"/>
          <w:szCs w:val="28"/>
          <w:lang w:val="en-US"/>
        </w:rPr>
        <w:t xml:space="preserve">18. Wedel J. R. Rigging the US – Russian Relationship: Harvard, Chubais, and the Transidentity Game – Democratizatsiya. </w:t>
      </w:r>
      <w:r w:rsidRPr="00E80A6D">
        <w:rPr>
          <w:rFonts w:ascii="Times New Roman" w:hAnsi="Times New Roman" w:cs="Times New Roman"/>
          <w:sz w:val="28"/>
          <w:szCs w:val="28"/>
          <w:lang w:val="en-US"/>
        </w:rPr>
        <w:t xml:space="preserve"> </w:t>
      </w:r>
      <w:r w:rsidRPr="00E80A6D">
        <w:rPr>
          <w:rFonts w:ascii="Times New Roman" w:hAnsi="Times New Roman" w:cs="Times New Roman"/>
          <w:sz w:val="28"/>
          <w:szCs w:val="28"/>
        </w:rPr>
        <w:t xml:space="preserve">1999. – vol. 7. – №4. </w:t>
      </w:r>
    </w:p>
    <w:p w:rsidR="00E80A6D" w:rsidRPr="00E80A6D" w:rsidRDefault="00E80A6D" w:rsidP="00E80A6D">
      <w:pPr>
        <w:ind w:firstLine="709"/>
        <w:jc w:val="both"/>
        <w:rPr>
          <w:rFonts w:ascii="Times New Roman" w:hAnsi="Times New Roman" w:cs="Times New Roman"/>
          <w:sz w:val="28"/>
          <w:szCs w:val="28"/>
        </w:rPr>
      </w:pPr>
      <w:r w:rsidRPr="00E80A6D">
        <w:rPr>
          <w:rFonts w:ascii="Times New Roman" w:hAnsi="Times New Roman" w:cs="Times New Roman"/>
          <w:sz w:val="28"/>
          <w:szCs w:val="28"/>
        </w:rPr>
        <w:t>19. Фисун А. Постсоветские политические режимы: неопатримониальная интерпретация // Ойкумена. Альманах сравнительных исследований политических институтов, социально</w:t>
      </w:r>
      <w:r w:rsidRPr="00E80A6D">
        <w:rPr>
          <w:rFonts w:ascii="Times New Roman" w:hAnsi="Times New Roman" w:cs="Times New Roman"/>
          <w:sz w:val="28"/>
          <w:szCs w:val="28"/>
        </w:rPr>
        <w:t xml:space="preserve"> экономических систем и цивилизаций. – 2004. – Вып. 2. – С. 130 </w:t>
      </w:r>
      <w:r w:rsidRPr="00E80A6D">
        <w:rPr>
          <w:rFonts w:ascii="Times New Roman" w:hAnsi="Times New Roman" w:cs="Times New Roman"/>
          <w:sz w:val="28"/>
          <w:szCs w:val="28"/>
        </w:rPr>
        <w:t xml:space="preserve"> 140. </w:t>
      </w:r>
    </w:p>
    <w:p w:rsidR="00E80A6D" w:rsidRPr="00E80A6D" w:rsidRDefault="00E80A6D" w:rsidP="00E80A6D">
      <w:pPr>
        <w:ind w:firstLine="709"/>
        <w:jc w:val="both"/>
        <w:rPr>
          <w:rFonts w:ascii="Times New Roman" w:hAnsi="Times New Roman" w:cs="Times New Roman"/>
          <w:sz w:val="28"/>
          <w:szCs w:val="28"/>
        </w:rPr>
      </w:pPr>
      <w:r w:rsidRPr="00E80A6D">
        <w:rPr>
          <w:rFonts w:ascii="Times New Roman" w:hAnsi="Times New Roman" w:cs="Times New Roman"/>
          <w:sz w:val="28"/>
          <w:szCs w:val="28"/>
        </w:rPr>
        <w:t xml:space="preserve">20. Сергеев В. М., Сергеев К. В. Механизмы эволюции политической структуры общества: социальные иерархии и социальные сети // Полис. – 2003. </w:t>
      </w:r>
      <w:r w:rsidRPr="00E80A6D">
        <w:rPr>
          <w:rFonts w:ascii="Times New Roman" w:hAnsi="Times New Roman" w:cs="Times New Roman"/>
          <w:sz w:val="28"/>
          <w:szCs w:val="28"/>
        </w:rPr>
        <w:t xml:space="preserve"> №3. – С. 6 </w:t>
      </w:r>
      <w:r w:rsidRPr="00E80A6D">
        <w:rPr>
          <w:rFonts w:ascii="Times New Roman" w:hAnsi="Times New Roman" w:cs="Times New Roman"/>
          <w:sz w:val="28"/>
          <w:szCs w:val="28"/>
        </w:rPr>
        <w:t xml:space="preserve"> 13. </w:t>
      </w:r>
    </w:p>
    <w:p w:rsidR="00E80A6D" w:rsidRPr="00E80A6D" w:rsidRDefault="00E80A6D" w:rsidP="00E80A6D">
      <w:pPr>
        <w:ind w:firstLine="709"/>
        <w:jc w:val="both"/>
        <w:rPr>
          <w:rFonts w:ascii="Times New Roman" w:hAnsi="Times New Roman" w:cs="Times New Roman"/>
          <w:sz w:val="28"/>
          <w:szCs w:val="28"/>
        </w:rPr>
      </w:pPr>
      <w:r w:rsidRPr="00E80A6D">
        <w:rPr>
          <w:rFonts w:ascii="Times New Roman" w:hAnsi="Times New Roman" w:cs="Times New Roman"/>
          <w:sz w:val="28"/>
          <w:szCs w:val="28"/>
        </w:rPr>
        <w:t xml:space="preserve">21. Динелло Н. От плана к клану: социальные сети и гражданское общество // www. prof.msu. ru / publ./book 3/ din. htm. </w:t>
      </w:r>
    </w:p>
    <w:p w:rsidR="00E80A6D" w:rsidRPr="00E80A6D" w:rsidRDefault="00E80A6D" w:rsidP="00E80A6D">
      <w:pPr>
        <w:ind w:firstLine="709"/>
        <w:jc w:val="both"/>
        <w:rPr>
          <w:rFonts w:ascii="Times New Roman" w:hAnsi="Times New Roman" w:cs="Times New Roman"/>
          <w:sz w:val="28"/>
          <w:szCs w:val="28"/>
        </w:rPr>
      </w:pPr>
      <w:r w:rsidRPr="00E80A6D">
        <w:rPr>
          <w:rFonts w:ascii="Times New Roman" w:hAnsi="Times New Roman" w:cs="Times New Roman"/>
          <w:sz w:val="28"/>
          <w:szCs w:val="28"/>
        </w:rPr>
        <w:t xml:space="preserve">22. Головаха Є. Феномен „аморальної більшості” в українському суспільстві: пострадянська трансформація масових уявлень про норми соціальної поведінки // Україна </w:t>
      </w:r>
      <w:r w:rsidRPr="00E80A6D">
        <w:rPr>
          <w:rFonts w:ascii="Times New Roman" w:hAnsi="Times New Roman" w:cs="Times New Roman"/>
          <w:sz w:val="28"/>
          <w:szCs w:val="28"/>
        </w:rPr>
        <w:t xml:space="preserve"> 2002. Моніторинг соціальних змін. / За ред. д. е. н. В. Ворони, д. соц. н. М. Шульги. – К.: Інститут соціології НАН України, 2002. – С. 460 </w:t>
      </w:r>
      <w:r w:rsidRPr="00E80A6D">
        <w:rPr>
          <w:rFonts w:ascii="Times New Roman" w:hAnsi="Times New Roman" w:cs="Times New Roman"/>
          <w:sz w:val="28"/>
          <w:szCs w:val="28"/>
        </w:rPr>
        <w:t xml:space="preserve"> 468. </w:t>
      </w:r>
    </w:p>
    <w:p w:rsidR="00E80A6D" w:rsidRPr="00E80A6D" w:rsidRDefault="00E80A6D" w:rsidP="00E80A6D">
      <w:pPr>
        <w:ind w:firstLine="709"/>
        <w:jc w:val="both"/>
        <w:rPr>
          <w:rFonts w:ascii="Times New Roman" w:hAnsi="Times New Roman" w:cs="Times New Roman"/>
        </w:rPr>
      </w:pPr>
      <w:r w:rsidRPr="00E80A6D">
        <w:rPr>
          <w:rFonts w:ascii="Times New Roman" w:hAnsi="Times New Roman" w:cs="Times New Roman"/>
          <w:sz w:val="28"/>
          <w:szCs w:val="28"/>
        </w:rPr>
        <w:t>23. Попова І. Моральне виправдання і нормативна складова тіньових практик (спроба порушити проблему) // Соціологія: теорія, методи, марке</w:t>
      </w:r>
      <w:bookmarkEnd w:id="0"/>
      <w:r w:rsidRPr="00E80A6D">
        <w:rPr>
          <w:rFonts w:ascii="Times New Roman" w:hAnsi="Times New Roman" w:cs="Times New Roman"/>
        </w:rPr>
        <w:t xml:space="preserve">тинг. – 2004. </w:t>
      </w:r>
      <w:r w:rsidRPr="00E80A6D">
        <w:rPr>
          <w:rFonts w:ascii="Times New Roman" w:hAnsi="Times New Roman" w:cs="Times New Roman"/>
        </w:rPr>
        <w:t xml:space="preserve"> №1. – С. 30 </w:t>
      </w:r>
      <w:r w:rsidRPr="00E80A6D">
        <w:rPr>
          <w:rFonts w:ascii="Times New Roman" w:hAnsi="Times New Roman" w:cs="Times New Roman"/>
        </w:rPr>
        <w:t> 50.</w:t>
      </w:r>
    </w:p>
    <w:sectPr w:rsidR="00E80A6D" w:rsidRPr="00E80A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159"/>
    <w:rsid w:val="00811159"/>
    <w:rsid w:val="00C617FC"/>
    <w:rsid w:val="00E80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5B294-6D2F-4F00-8941-8A1D6DEEB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5908</Words>
  <Characters>33681</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dc:creator>
  <cp:keywords/>
  <dc:description/>
  <cp:lastModifiedBy>IPA</cp:lastModifiedBy>
  <cp:revision>2</cp:revision>
  <dcterms:created xsi:type="dcterms:W3CDTF">2016-05-17T17:49:00Z</dcterms:created>
  <dcterms:modified xsi:type="dcterms:W3CDTF">2016-05-17T18:02:00Z</dcterms:modified>
</cp:coreProperties>
</file>