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F08" w:rsidRPr="00F44F08" w:rsidRDefault="00F44F08" w:rsidP="00F44F08">
      <w:pPr>
        <w:spacing w:line="240" w:lineRule="auto"/>
        <w:jc w:val="right"/>
        <w:rPr>
          <w:rFonts w:ascii="Times New Roman" w:hAnsi="Times New Roman" w:cs="Times New Roman"/>
          <w:sz w:val="28"/>
          <w:szCs w:val="28"/>
        </w:rPr>
      </w:pPr>
      <w:r w:rsidRPr="00F44F08">
        <w:rPr>
          <w:rFonts w:ascii="Times New Roman" w:hAnsi="Times New Roman" w:cs="Times New Roman"/>
          <w:sz w:val="28"/>
          <w:szCs w:val="28"/>
        </w:rPr>
        <w:t xml:space="preserve">Додаток Г </w:t>
      </w:r>
    </w:p>
    <w:p w:rsidR="00F44F08" w:rsidRPr="00F44F08" w:rsidRDefault="00F44F08" w:rsidP="00F44F08">
      <w:pPr>
        <w:spacing w:line="240" w:lineRule="auto"/>
        <w:jc w:val="right"/>
        <w:rPr>
          <w:rFonts w:ascii="Times New Roman" w:hAnsi="Times New Roman" w:cs="Times New Roman"/>
          <w:sz w:val="28"/>
          <w:szCs w:val="28"/>
        </w:rPr>
      </w:pPr>
      <w:r w:rsidRPr="00F44F08">
        <w:rPr>
          <w:rFonts w:ascii="Times New Roman" w:hAnsi="Times New Roman" w:cs="Times New Roman"/>
          <w:sz w:val="28"/>
          <w:szCs w:val="28"/>
        </w:rPr>
        <w:t>до п.п. 3.6</w:t>
      </w:r>
    </w:p>
    <w:p w:rsidR="00F44F08" w:rsidRDefault="00F44F08" w:rsidP="00F44F08">
      <w:pPr>
        <w:jc w:val="center"/>
        <w:rPr>
          <w:rFonts w:ascii="Times New Roman" w:hAnsi="Times New Roman" w:cs="Times New Roman"/>
          <w:b/>
          <w:sz w:val="32"/>
          <w:szCs w:val="32"/>
        </w:rPr>
      </w:pPr>
    </w:p>
    <w:p w:rsidR="002D6C6C" w:rsidRDefault="00F44F08" w:rsidP="00F44F08">
      <w:pPr>
        <w:jc w:val="center"/>
        <w:rPr>
          <w:rFonts w:ascii="Times New Roman" w:hAnsi="Times New Roman" w:cs="Times New Roman"/>
          <w:b/>
          <w:sz w:val="32"/>
          <w:szCs w:val="32"/>
        </w:rPr>
      </w:pPr>
      <w:r w:rsidRPr="00F44F08">
        <w:rPr>
          <w:rFonts w:ascii="Times New Roman" w:hAnsi="Times New Roman" w:cs="Times New Roman"/>
          <w:b/>
          <w:sz w:val="32"/>
          <w:szCs w:val="32"/>
        </w:rPr>
        <w:t>МІНІСТЕРСВО ОСВІТИ І НАУКИ УКРАЇНИ</w:t>
      </w:r>
    </w:p>
    <w:p w:rsidR="00F44F08" w:rsidRDefault="00F44F08" w:rsidP="00F44F08">
      <w:pPr>
        <w:jc w:val="center"/>
        <w:rPr>
          <w:rFonts w:ascii="Times New Roman" w:hAnsi="Times New Roman" w:cs="Times New Roman"/>
          <w:b/>
          <w:sz w:val="32"/>
          <w:szCs w:val="32"/>
        </w:rPr>
      </w:pPr>
      <w:r>
        <w:rPr>
          <w:rFonts w:ascii="Times New Roman" w:hAnsi="Times New Roman" w:cs="Times New Roman"/>
          <w:b/>
          <w:sz w:val="32"/>
          <w:szCs w:val="32"/>
        </w:rPr>
        <w:t>НАЦІОНАЛЬНИЙ АВІАЦІЙНИЙ УНІВЕРСИТЕТ</w:t>
      </w:r>
    </w:p>
    <w:p w:rsidR="00F44F08" w:rsidRPr="00F44F08" w:rsidRDefault="00F44F08" w:rsidP="00F44F08">
      <w:pPr>
        <w:jc w:val="center"/>
        <w:rPr>
          <w:rFonts w:ascii="Times New Roman" w:hAnsi="Times New Roman" w:cs="Times New Roman"/>
          <w:sz w:val="40"/>
          <w:szCs w:val="40"/>
        </w:rPr>
      </w:pPr>
      <w:r w:rsidRPr="00F44F08">
        <w:rPr>
          <w:rFonts w:ascii="Times New Roman" w:hAnsi="Times New Roman" w:cs="Times New Roman"/>
          <w:sz w:val="40"/>
          <w:szCs w:val="40"/>
        </w:rPr>
        <w:t>Навчально-науковий юридичний інститут</w:t>
      </w:r>
    </w:p>
    <w:p w:rsidR="00F44F08" w:rsidRDefault="00F44F08" w:rsidP="00F44F08">
      <w:pPr>
        <w:jc w:val="center"/>
        <w:rPr>
          <w:rFonts w:ascii="Times New Roman" w:hAnsi="Times New Roman" w:cs="Times New Roman"/>
          <w:sz w:val="32"/>
          <w:szCs w:val="32"/>
        </w:rPr>
      </w:pPr>
      <w:r>
        <w:rPr>
          <w:rFonts w:ascii="Times New Roman" w:hAnsi="Times New Roman" w:cs="Times New Roman"/>
          <w:sz w:val="32"/>
          <w:szCs w:val="32"/>
        </w:rPr>
        <w:t>КАФЕДРА ГОСПОДАРСЬКОГО, ПОВІТРЯНОГО ТА КОСМІЧНОГО ПРАВА</w:t>
      </w:r>
    </w:p>
    <w:p w:rsidR="00F44F08" w:rsidRDefault="00F44F08" w:rsidP="00F44F08">
      <w:pPr>
        <w:jc w:val="center"/>
        <w:rPr>
          <w:rFonts w:ascii="Times New Roman" w:hAnsi="Times New Roman" w:cs="Times New Roman"/>
          <w:sz w:val="32"/>
          <w:szCs w:val="32"/>
        </w:rPr>
      </w:pPr>
    </w:p>
    <w:p w:rsidR="00F44F08" w:rsidRDefault="00F44F08" w:rsidP="00F44F08">
      <w:pPr>
        <w:jc w:val="center"/>
        <w:rPr>
          <w:rFonts w:ascii="Times New Roman" w:hAnsi="Times New Roman" w:cs="Times New Roman"/>
          <w:b/>
          <w:sz w:val="32"/>
          <w:szCs w:val="32"/>
        </w:rPr>
      </w:pPr>
      <w:r w:rsidRPr="00F44F08">
        <w:rPr>
          <w:rFonts w:ascii="Times New Roman" w:hAnsi="Times New Roman" w:cs="Times New Roman"/>
          <w:b/>
          <w:sz w:val="32"/>
          <w:szCs w:val="32"/>
        </w:rPr>
        <w:t>КОНСПЕКТ ЛЕКЦІЙ</w:t>
      </w:r>
    </w:p>
    <w:p w:rsidR="00F44F08" w:rsidRDefault="00F44F08" w:rsidP="00F44F08">
      <w:pPr>
        <w:jc w:val="center"/>
        <w:rPr>
          <w:rFonts w:ascii="Times New Roman" w:hAnsi="Times New Roman" w:cs="Times New Roman"/>
          <w:sz w:val="28"/>
          <w:szCs w:val="28"/>
        </w:rPr>
      </w:pPr>
      <w:r>
        <w:rPr>
          <w:rFonts w:ascii="Times New Roman" w:hAnsi="Times New Roman" w:cs="Times New Roman"/>
          <w:sz w:val="28"/>
          <w:szCs w:val="28"/>
        </w:rPr>
        <w:t>З дисципліни «</w:t>
      </w:r>
      <w:r w:rsidR="008D5A8B">
        <w:rPr>
          <w:rFonts w:ascii="Times New Roman" w:hAnsi="Times New Roman" w:cs="Times New Roman"/>
          <w:sz w:val="28"/>
          <w:szCs w:val="28"/>
        </w:rPr>
        <w:t xml:space="preserve">Транспортне право Європейського Союзу </w:t>
      </w:r>
      <w:r>
        <w:rPr>
          <w:rFonts w:ascii="Times New Roman" w:hAnsi="Times New Roman" w:cs="Times New Roman"/>
          <w:sz w:val="28"/>
          <w:szCs w:val="28"/>
        </w:rPr>
        <w:t>»</w:t>
      </w:r>
    </w:p>
    <w:p w:rsidR="00F44F08" w:rsidRDefault="00F44F08" w:rsidP="00F44F08">
      <w:pPr>
        <w:jc w:val="center"/>
        <w:rPr>
          <w:rFonts w:ascii="Times New Roman" w:eastAsia="Times New Roman" w:hAnsi="Times New Roman" w:cs="Times New Roman"/>
          <w:sz w:val="28"/>
          <w:szCs w:val="20"/>
          <w:lang w:eastAsia="ru-RU"/>
        </w:rPr>
      </w:pPr>
      <w:r>
        <w:rPr>
          <w:rFonts w:ascii="Times New Roman" w:hAnsi="Times New Roman" w:cs="Times New Roman"/>
          <w:sz w:val="28"/>
          <w:szCs w:val="28"/>
        </w:rPr>
        <w:t>за напрямом</w:t>
      </w:r>
      <w:r w:rsidR="00E8529E">
        <w:rPr>
          <w:rFonts w:ascii="Times New Roman" w:hAnsi="Times New Roman" w:cs="Times New Roman"/>
          <w:sz w:val="28"/>
          <w:szCs w:val="28"/>
        </w:rPr>
        <w:t xml:space="preserve"> (спеціальністю)  </w:t>
      </w:r>
      <w:r w:rsidR="00E8529E" w:rsidRPr="00834D0F">
        <w:rPr>
          <w:rFonts w:ascii="Times New Roman" w:eastAsia="Times New Roman" w:hAnsi="Times New Roman" w:cs="Times New Roman"/>
          <w:sz w:val="28"/>
          <w:szCs w:val="20"/>
          <w:lang w:eastAsia="ru-RU"/>
        </w:rPr>
        <w:t>081 «Право»</w:t>
      </w:r>
    </w:p>
    <w:p w:rsidR="00E8529E" w:rsidRDefault="00E8529E" w:rsidP="00F44F08">
      <w:pPr>
        <w:jc w:val="center"/>
        <w:rPr>
          <w:rFonts w:ascii="Times New Roman" w:eastAsia="Times New Roman" w:hAnsi="Times New Roman" w:cs="Times New Roman"/>
          <w:sz w:val="28"/>
          <w:szCs w:val="20"/>
          <w:lang w:eastAsia="ru-RU"/>
        </w:rPr>
      </w:pPr>
    </w:p>
    <w:p w:rsidR="00E8529E" w:rsidRDefault="00E8529E" w:rsidP="00F44F08">
      <w:pPr>
        <w:jc w:val="center"/>
        <w:rPr>
          <w:rFonts w:ascii="Times New Roman" w:eastAsia="Times New Roman" w:hAnsi="Times New Roman" w:cs="Times New Roman"/>
          <w:sz w:val="28"/>
          <w:szCs w:val="20"/>
          <w:lang w:eastAsia="ru-RU"/>
        </w:rPr>
      </w:pPr>
    </w:p>
    <w:p w:rsidR="00E8529E" w:rsidRDefault="00E8529E" w:rsidP="00F44F08">
      <w:pPr>
        <w:jc w:val="center"/>
        <w:rPr>
          <w:rFonts w:ascii="Times New Roman" w:eastAsia="Times New Roman" w:hAnsi="Times New Roman" w:cs="Times New Roman"/>
          <w:sz w:val="28"/>
          <w:szCs w:val="20"/>
          <w:lang w:eastAsia="ru-RU"/>
        </w:rPr>
      </w:pPr>
    </w:p>
    <w:p w:rsidR="00E8529E" w:rsidRDefault="00E8529E" w:rsidP="00F44F08">
      <w:pPr>
        <w:jc w:val="center"/>
        <w:rPr>
          <w:rFonts w:ascii="Times New Roman" w:eastAsia="Times New Roman" w:hAnsi="Times New Roman" w:cs="Times New Roman"/>
          <w:sz w:val="28"/>
          <w:szCs w:val="20"/>
          <w:u w:val="single"/>
          <w:lang w:eastAsia="ru-RU"/>
        </w:rPr>
      </w:pPr>
      <w:r>
        <w:rPr>
          <w:rFonts w:ascii="Times New Roman" w:eastAsia="Times New Roman" w:hAnsi="Times New Roman" w:cs="Times New Roman"/>
          <w:sz w:val="28"/>
          <w:szCs w:val="20"/>
          <w:lang w:eastAsia="ru-RU"/>
        </w:rPr>
        <w:t xml:space="preserve">                                                      Укладач (і): </w:t>
      </w:r>
      <w:r w:rsidRPr="00E8529E">
        <w:rPr>
          <w:rFonts w:ascii="Times New Roman" w:eastAsia="Times New Roman" w:hAnsi="Times New Roman" w:cs="Times New Roman"/>
          <w:sz w:val="28"/>
          <w:szCs w:val="20"/>
          <w:u w:val="single"/>
          <w:lang w:eastAsia="ru-RU"/>
        </w:rPr>
        <w:t>к.ю.н., доцент, Корнєєв Ю.В</w:t>
      </w:r>
    </w:p>
    <w:p w:rsidR="00E8529E" w:rsidRDefault="00E8529E" w:rsidP="00F44F08">
      <w:pPr>
        <w:jc w:val="center"/>
        <w:rPr>
          <w:rFonts w:ascii="Times New Roman" w:eastAsia="Times New Roman" w:hAnsi="Times New Roman" w:cs="Times New Roman"/>
          <w:sz w:val="28"/>
          <w:szCs w:val="20"/>
          <w:u w:val="single"/>
          <w:lang w:eastAsia="ru-RU"/>
        </w:rPr>
      </w:pPr>
    </w:p>
    <w:p w:rsidR="00E8529E" w:rsidRDefault="00E8529E" w:rsidP="00F44F08">
      <w:pPr>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E8529E">
        <w:rPr>
          <w:rFonts w:ascii="Times New Roman" w:eastAsia="Times New Roman" w:hAnsi="Times New Roman" w:cs="Times New Roman"/>
          <w:sz w:val="28"/>
          <w:szCs w:val="20"/>
          <w:lang w:eastAsia="ru-RU"/>
        </w:rPr>
        <w:t>Конспект лекцій розглянутий та схвалений</w:t>
      </w:r>
    </w:p>
    <w:p w:rsidR="00E8529E" w:rsidRDefault="00E8529E" w:rsidP="00F44F08">
      <w:pPr>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на засіданні кафедри господарського, </w:t>
      </w:r>
    </w:p>
    <w:p w:rsidR="00E8529E" w:rsidRDefault="00E8529E" w:rsidP="00E8529E">
      <w:pPr>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повітряного та космічного права</w:t>
      </w:r>
    </w:p>
    <w:p w:rsidR="00DE5BF6" w:rsidRDefault="00E8529E" w:rsidP="00DE5BF6">
      <w:pPr>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DE5BF6">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Протокол №____ від «____»</w:t>
      </w:r>
      <w:r w:rsidR="00DE5BF6">
        <w:rPr>
          <w:rFonts w:ascii="Times New Roman" w:eastAsia="Times New Roman" w:hAnsi="Times New Roman" w:cs="Times New Roman"/>
          <w:sz w:val="28"/>
          <w:szCs w:val="20"/>
          <w:lang w:eastAsia="ru-RU"/>
        </w:rPr>
        <w:t>_____</w:t>
      </w:r>
      <w:r>
        <w:rPr>
          <w:rFonts w:ascii="Times New Roman" w:eastAsia="Times New Roman" w:hAnsi="Times New Roman" w:cs="Times New Roman"/>
          <w:sz w:val="28"/>
          <w:szCs w:val="20"/>
          <w:lang w:eastAsia="ru-RU"/>
        </w:rPr>
        <w:t>2017р</w:t>
      </w:r>
      <w:r w:rsidR="00DE5BF6">
        <w:rPr>
          <w:rFonts w:ascii="Times New Roman" w:eastAsia="Times New Roman" w:hAnsi="Times New Roman" w:cs="Times New Roman"/>
          <w:sz w:val="28"/>
          <w:szCs w:val="20"/>
          <w:lang w:eastAsia="ru-RU"/>
        </w:rPr>
        <w:t>.</w:t>
      </w:r>
    </w:p>
    <w:p w:rsidR="00DE5BF6" w:rsidRDefault="00DE5BF6" w:rsidP="00DE5BF6">
      <w:pPr>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Завідувач кафедри</w:t>
      </w:r>
    </w:p>
    <w:p w:rsidR="00DE5BF6" w:rsidRDefault="00DE5BF6" w:rsidP="00DE5BF6">
      <w:pPr>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______________________Юлдашев С.О.</w:t>
      </w:r>
    </w:p>
    <w:p w:rsidR="00AC5275" w:rsidRDefault="00AC5275" w:rsidP="00AC5275">
      <w:pPr>
        <w:rPr>
          <w:rFonts w:ascii="Times New Roman" w:eastAsia="Times New Roman" w:hAnsi="Times New Roman" w:cs="Times New Roman"/>
          <w:sz w:val="28"/>
          <w:szCs w:val="20"/>
          <w:lang w:eastAsia="ru-RU"/>
        </w:rPr>
      </w:pPr>
    </w:p>
    <w:p w:rsidR="00C1724B" w:rsidRDefault="00C1724B" w:rsidP="00DE5BF6">
      <w:pPr>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ЛЕКЦІЯ № 1</w:t>
      </w:r>
    </w:p>
    <w:p w:rsidR="00C1724B" w:rsidRDefault="00C1724B" w:rsidP="00C1724B">
      <w:pP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Тема лекції:</w:t>
      </w:r>
      <w:r w:rsidR="00AC5275" w:rsidRPr="00AC5275">
        <w:rPr>
          <w:rFonts w:ascii="Times New Roman" w:eastAsia="Times New Roman" w:hAnsi="Times New Roman" w:cs="Times New Roman"/>
          <w:b/>
          <w:spacing w:val="-4"/>
          <w:sz w:val="28"/>
          <w:szCs w:val="28"/>
          <w:lang w:eastAsia="ru-RU"/>
        </w:rPr>
        <w:t xml:space="preserve"> </w:t>
      </w:r>
      <w:r w:rsidR="00AC5275" w:rsidRPr="00AC5275">
        <w:rPr>
          <w:rFonts w:ascii="Times New Roman" w:hAnsi="Times New Roman" w:cs="Times New Roman"/>
          <w:b/>
          <w:color w:val="000000"/>
          <w:sz w:val="28"/>
          <w:szCs w:val="28"/>
        </w:rPr>
        <w:t xml:space="preserve"> </w:t>
      </w:r>
      <w:r w:rsidR="00AC5275" w:rsidRPr="00AC5275">
        <w:rPr>
          <w:rFonts w:ascii="Times New Roman" w:hAnsi="Times New Roman" w:cs="Times New Roman"/>
          <w:b/>
          <w:sz w:val="28"/>
          <w:szCs w:val="28"/>
        </w:rPr>
        <w:t>Вступ до транспо</w:t>
      </w:r>
      <w:r w:rsidR="00AC5275" w:rsidRPr="00AC5275">
        <w:rPr>
          <w:rFonts w:ascii="Times New Roman" w:hAnsi="Times New Roman"/>
          <w:b/>
          <w:sz w:val="28"/>
          <w:szCs w:val="28"/>
        </w:rPr>
        <w:t>ртного права Європейського Союзу</w:t>
      </w:r>
    </w:p>
    <w:p w:rsidR="00C1724B" w:rsidRPr="00C1724B" w:rsidRDefault="00C1724B" w:rsidP="00C1724B">
      <w:pPr>
        <w:jc w:val="center"/>
        <w:rPr>
          <w:rFonts w:ascii="Times New Roman" w:eastAsia="Times New Roman" w:hAnsi="Times New Roman" w:cs="Times New Roman"/>
          <w:b/>
          <w:sz w:val="28"/>
          <w:szCs w:val="20"/>
          <w:lang w:eastAsia="ru-RU"/>
        </w:rPr>
      </w:pPr>
    </w:p>
    <w:p w:rsidR="00C1724B" w:rsidRDefault="00C1724B" w:rsidP="00C1724B">
      <w:pPr>
        <w:jc w:val="center"/>
        <w:rPr>
          <w:rFonts w:ascii="Times New Roman" w:eastAsia="Times New Roman" w:hAnsi="Times New Roman" w:cs="Times New Roman"/>
          <w:b/>
          <w:sz w:val="28"/>
          <w:szCs w:val="20"/>
          <w:lang w:eastAsia="ru-RU"/>
        </w:rPr>
      </w:pPr>
      <w:r w:rsidRPr="00C1724B">
        <w:rPr>
          <w:rFonts w:ascii="Times New Roman" w:eastAsia="Times New Roman" w:hAnsi="Times New Roman" w:cs="Times New Roman"/>
          <w:b/>
          <w:sz w:val="28"/>
          <w:szCs w:val="20"/>
          <w:lang w:eastAsia="ru-RU"/>
        </w:rPr>
        <w:t>План лекції</w:t>
      </w:r>
    </w:p>
    <w:p w:rsidR="0059523A" w:rsidRDefault="0059523A" w:rsidP="0059523A">
      <w:pPr>
        <w:pStyle w:val="aa"/>
        <w:ind w:firstLine="709"/>
        <w:jc w:val="both"/>
        <w:rPr>
          <w:rFonts w:ascii="Times New Roman" w:hAnsi="Times New Roman" w:cs="Times New Roman"/>
          <w:b/>
          <w:sz w:val="28"/>
          <w:szCs w:val="28"/>
        </w:rPr>
      </w:pPr>
      <w:r>
        <w:rPr>
          <w:rFonts w:ascii="Times New Roman" w:hAnsi="Times New Roman" w:cs="Times New Roman"/>
          <w:b/>
          <w:sz w:val="28"/>
          <w:szCs w:val="28"/>
        </w:rPr>
        <w:t>1.</w:t>
      </w:r>
      <w:r w:rsidRPr="00BE0639">
        <w:rPr>
          <w:rFonts w:ascii="Times New Roman" w:hAnsi="Times New Roman" w:cs="Times New Roman"/>
          <w:b/>
          <w:sz w:val="28"/>
          <w:szCs w:val="28"/>
        </w:rPr>
        <w:t xml:space="preserve">Вступ </w:t>
      </w:r>
      <w:r>
        <w:rPr>
          <w:rFonts w:ascii="Times New Roman" w:hAnsi="Times New Roman" w:cs="Times New Roman"/>
          <w:b/>
          <w:sz w:val="28"/>
          <w:szCs w:val="28"/>
        </w:rPr>
        <w:t>до навчальної дисципліни «Транспортне право Європейського Союзу».</w:t>
      </w:r>
    </w:p>
    <w:p w:rsidR="0059523A" w:rsidRDefault="0059523A" w:rsidP="0059523A">
      <w:pPr>
        <w:pStyle w:val="aa"/>
        <w:ind w:firstLine="709"/>
        <w:jc w:val="both"/>
        <w:rPr>
          <w:rFonts w:ascii="Times New Roman" w:hAnsi="Times New Roman" w:cs="Times New Roman"/>
          <w:b/>
          <w:sz w:val="28"/>
          <w:szCs w:val="28"/>
        </w:rPr>
      </w:pPr>
      <w:r>
        <w:rPr>
          <w:rFonts w:ascii="Times New Roman" w:hAnsi="Times New Roman" w:cs="Times New Roman"/>
          <w:b/>
          <w:sz w:val="28"/>
          <w:szCs w:val="28"/>
        </w:rPr>
        <w:t>2.</w:t>
      </w:r>
      <w:r w:rsidRPr="0091555C">
        <w:rPr>
          <w:rFonts w:ascii="Times New Roman" w:hAnsi="Times New Roman" w:cs="Times New Roman"/>
          <w:b/>
          <w:sz w:val="28"/>
          <w:szCs w:val="28"/>
        </w:rPr>
        <w:t>Загальні поняття та особливості транспорту ЄС</w:t>
      </w:r>
      <w:r>
        <w:rPr>
          <w:rFonts w:ascii="Times New Roman" w:hAnsi="Times New Roman" w:cs="Times New Roman"/>
          <w:b/>
          <w:sz w:val="28"/>
          <w:szCs w:val="28"/>
        </w:rPr>
        <w:t>.</w:t>
      </w:r>
    </w:p>
    <w:p w:rsidR="0059523A" w:rsidRDefault="0059523A" w:rsidP="0059523A">
      <w:pPr>
        <w:pStyle w:val="aa"/>
        <w:ind w:firstLine="709"/>
        <w:jc w:val="both"/>
        <w:rPr>
          <w:rFonts w:ascii="Times New Roman" w:hAnsi="Times New Roman" w:cs="Times New Roman"/>
          <w:b/>
          <w:sz w:val="28"/>
          <w:szCs w:val="28"/>
        </w:rPr>
      </w:pPr>
      <w:r>
        <w:rPr>
          <w:rFonts w:ascii="Times New Roman" w:hAnsi="Times New Roman" w:cs="Times New Roman"/>
          <w:b/>
          <w:sz w:val="28"/>
          <w:szCs w:val="28"/>
        </w:rPr>
        <w:t>3. .</w:t>
      </w:r>
      <w:r w:rsidRPr="0091555C">
        <w:rPr>
          <w:rFonts w:ascii="Times New Roman" w:hAnsi="Times New Roman" w:cs="Times New Roman"/>
          <w:b/>
          <w:sz w:val="28"/>
          <w:szCs w:val="28"/>
        </w:rPr>
        <w:t>Історія становлення транспортного права ЄС</w:t>
      </w:r>
      <w:r>
        <w:rPr>
          <w:rFonts w:ascii="Times New Roman" w:hAnsi="Times New Roman" w:cs="Times New Roman"/>
          <w:b/>
          <w:sz w:val="28"/>
          <w:szCs w:val="28"/>
        </w:rPr>
        <w:t>.</w:t>
      </w:r>
    </w:p>
    <w:p w:rsidR="00C1724B" w:rsidRDefault="00C1724B" w:rsidP="0059523A">
      <w:pPr>
        <w:rPr>
          <w:rFonts w:ascii="Times New Roman" w:eastAsia="Times New Roman" w:hAnsi="Times New Roman" w:cs="Times New Roman"/>
          <w:b/>
          <w:sz w:val="28"/>
          <w:szCs w:val="20"/>
          <w:lang w:eastAsia="ru-RU"/>
        </w:rPr>
      </w:pPr>
    </w:p>
    <w:p w:rsidR="00C1724B" w:rsidRDefault="00C1724B" w:rsidP="00C1724B">
      <w:pP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Література:</w:t>
      </w:r>
    </w:p>
    <w:p w:rsidR="005355A5" w:rsidRPr="0059523A" w:rsidRDefault="005355A5" w:rsidP="005355A5">
      <w:pPr>
        <w:pStyle w:val="a7"/>
        <w:numPr>
          <w:ilvl w:val="0"/>
          <w:numId w:val="1"/>
        </w:numPr>
        <w:spacing w:after="0" w:line="240" w:lineRule="auto"/>
        <w:ind w:left="0" w:firstLine="360"/>
        <w:jc w:val="both"/>
        <w:rPr>
          <w:rFonts w:ascii="Times New Roman" w:hAnsi="Times New Roman" w:cs="Times New Roman"/>
          <w:sz w:val="28"/>
          <w:szCs w:val="28"/>
        </w:rPr>
      </w:pPr>
      <w:r w:rsidRPr="0059523A">
        <w:rPr>
          <w:rFonts w:ascii="Times New Roman" w:hAnsi="Times New Roman" w:cs="Times New Roman"/>
          <w:sz w:val="28"/>
          <w:szCs w:val="28"/>
        </w:rPr>
        <w:t>Европейское право: Учеб. для ВУЗов / Под общ. ред. д-ра юрид. наук, проф. Энгина Л.М. –М., 2008.</w:t>
      </w:r>
    </w:p>
    <w:p w:rsidR="005355A5" w:rsidRPr="0059523A" w:rsidRDefault="005355A5" w:rsidP="005355A5">
      <w:pPr>
        <w:pStyle w:val="a7"/>
        <w:numPr>
          <w:ilvl w:val="0"/>
          <w:numId w:val="1"/>
        </w:numPr>
        <w:spacing w:after="0" w:line="240" w:lineRule="auto"/>
        <w:ind w:left="0" w:firstLine="360"/>
        <w:jc w:val="both"/>
        <w:rPr>
          <w:rFonts w:ascii="Times New Roman" w:hAnsi="Times New Roman" w:cs="Times New Roman"/>
          <w:sz w:val="28"/>
          <w:szCs w:val="28"/>
        </w:rPr>
      </w:pPr>
      <w:r w:rsidRPr="0059523A">
        <w:rPr>
          <w:rFonts w:ascii="Times New Roman" w:hAnsi="Times New Roman" w:cs="Times New Roman"/>
          <w:sz w:val="28"/>
          <w:szCs w:val="28"/>
        </w:rPr>
        <w:t xml:space="preserve"> Кернз В. Вступ до права Європейського Союзу: Навч. посіб.: Пер. з англ. / Наук. ред. С.В.Ісакович, А.С.Метюшев. – К.: Знання, КОО, 2012. -381с. </w:t>
      </w:r>
    </w:p>
    <w:p w:rsidR="005355A5" w:rsidRPr="0059523A" w:rsidRDefault="005355A5" w:rsidP="005355A5">
      <w:pPr>
        <w:pStyle w:val="a7"/>
        <w:numPr>
          <w:ilvl w:val="0"/>
          <w:numId w:val="1"/>
        </w:numPr>
        <w:spacing w:after="0" w:line="240" w:lineRule="auto"/>
        <w:ind w:left="0" w:firstLine="360"/>
        <w:jc w:val="both"/>
        <w:rPr>
          <w:rFonts w:ascii="Times New Roman" w:hAnsi="Times New Roman" w:cs="Times New Roman"/>
          <w:sz w:val="28"/>
          <w:szCs w:val="28"/>
        </w:rPr>
      </w:pPr>
      <w:r w:rsidRPr="0059523A">
        <w:rPr>
          <w:rFonts w:ascii="Times New Roman" w:hAnsi="Times New Roman" w:cs="Times New Roman"/>
          <w:sz w:val="28"/>
          <w:szCs w:val="28"/>
        </w:rPr>
        <w:t>Татам А. Право Європейського Союзу: Підручник / Пер. з англ. – К., 1998. - 424с.</w:t>
      </w:r>
    </w:p>
    <w:p w:rsidR="005355A5" w:rsidRPr="0059523A" w:rsidRDefault="005355A5" w:rsidP="005355A5">
      <w:pPr>
        <w:pStyle w:val="a7"/>
        <w:numPr>
          <w:ilvl w:val="0"/>
          <w:numId w:val="1"/>
        </w:numPr>
        <w:spacing w:after="0" w:line="240" w:lineRule="auto"/>
        <w:ind w:left="0" w:firstLine="360"/>
        <w:jc w:val="both"/>
        <w:rPr>
          <w:rFonts w:ascii="Times New Roman" w:hAnsi="Times New Roman" w:cs="Times New Roman"/>
          <w:sz w:val="28"/>
          <w:szCs w:val="28"/>
        </w:rPr>
      </w:pPr>
      <w:r w:rsidRPr="0059523A">
        <w:rPr>
          <w:rFonts w:ascii="Times New Roman" w:hAnsi="Times New Roman" w:cs="Times New Roman"/>
          <w:sz w:val="28"/>
          <w:szCs w:val="28"/>
        </w:rPr>
        <w:t xml:space="preserve">Топорнин   Б.Н. Европейское право: Учеб. –М., 1999. </w:t>
      </w:r>
    </w:p>
    <w:p w:rsidR="005355A5" w:rsidRPr="0059523A" w:rsidRDefault="005355A5" w:rsidP="005355A5">
      <w:pPr>
        <w:pStyle w:val="a7"/>
        <w:numPr>
          <w:ilvl w:val="0"/>
          <w:numId w:val="1"/>
        </w:numPr>
        <w:spacing w:after="0" w:line="240" w:lineRule="auto"/>
        <w:ind w:left="0" w:firstLine="360"/>
        <w:jc w:val="both"/>
        <w:rPr>
          <w:rFonts w:ascii="Times New Roman" w:hAnsi="Times New Roman" w:cs="Times New Roman"/>
          <w:sz w:val="28"/>
          <w:szCs w:val="28"/>
        </w:rPr>
      </w:pPr>
      <w:r w:rsidRPr="0059523A">
        <w:rPr>
          <w:rFonts w:ascii="Times New Roman" w:hAnsi="Times New Roman" w:cs="Times New Roman"/>
          <w:sz w:val="28"/>
          <w:szCs w:val="28"/>
        </w:rPr>
        <w:t xml:space="preserve"> Гнатовський М. Концепція “європейського правового простору” в контексті проблем європейської інтеграції // Право україни. – 2003. – № 1. - С. 133-135.</w:t>
      </w:r>
    </w:p>
    <w:p w:rsidR="005355A5" w:rsidRPr="0059523A" w:rsidRDefault="005355A5" w:rsidP="005355A5">
      <w:pPr>
        <w:pStyle w:val="a7"/>
        <w:numPr>
          <w:ilvl w:val="0"/>
          <w:numId w:val="1"/>
        </w:numPr>
        <w:spacing w:after="0" w:line="240" w:lineRule="auto"/>
        <w:ind w:left="0" w:firstLine="360"/>
        <w:jc w:val="both"/>
        <w:rPr>
          <w:rFonts w:ascii="Times New Roman" w:hAnsi="Times New Roman" w:cs="Times New Roman"/>
          <w:sz w:val="28"/>
          <w:szCs w:val="28"/>
        </w:rPr>
      </w:pPr>
      <w:r w:rsidRPr="0059523A">
        <w:rPr>
          <w:rFonts w:ascii="Times New Roman" w:hAnsi="Times New Roman" w:cs="Times New Roman"/>
          <w:sz w:val="28"/>
          <w:szCs w:val="28"/>
        </w:rPr>
        <w:t>Ковальова О. Зближення законодавства Європейського Союзу з правовими системами держав-кандидатів на вступ до ЄС // Право України. – 2003. - № 9. – С. 138-142.</w:t>
      </w:r>
    </w:p>
    <w:p w:rsidR="005355A5" w:rsidRPr="0059523A" w:rsidRDefault="005355A5" w:rsidP="005355A5">
      <w:pPr>
        <w:pStyle w:val="a7"/>
        <w:numPr>
          <w:ilvl w:val="0"/>
          <w:numId w:val="1"/>
        </w:numPr>
        <w:spacing w:after="0" w:line="240" w:lineRule="auto"/>
        <w:ind w:left="0" w:firstLine="360"/>
        <w:jc w:val="both"/>
        <w:rPr>
          <w:rFonts w:ascii="Times New Roman" w:hAnsi="Times New Roman" w:cs="Times New Roman"/>
          <w:sz w:val="28"/>
          <w:szCs w:val="28"/>
        </w:rPr>
      </w:pPr>
      <w:r w:rsidRPr="0059523A">
        <w:rPr>
          <w:rFonts w:ascii="Times New Roman" w:hAnsi="Times New Roman" w:cs="Times New Roman"/>
          <w:sz w:val="28"/>
          <w:szCs w:val="28"/>
        </w:rPr>
        <w:t>Баймуратов М.О., Максименко С.В. Стратегія інтеграції України до Європейського Союзу: політико-правовий аналіз // Право України. – 2001. - № 10. – С.101.</w:t>
      </w:r>
    </w:p>
    <w:p w:rsidR="0059523A" w:rsidRDefault="005355A5" w:rsidP="00C1724B">
      <w:pPr>
        <w:pStyle w:val="a7"/>
        <w:numPr>
          <w:ilvl w:val="0"/>
          <w:numId w:val="1"/>
        </w:numPr>
        <w:spacing w:after="0" w:line="240" w:lineRule="auto"/>
        <w:ind w:left="0" w:firstLine="360"/>
        <w:jc w:val="both"/>
        <w:rPr>
          <w:rFonts w:ascii="Times New Roman" w:hAnsi="Times New Roman" w:cs="Times New Roman"/>
          <w:sz w:val="28"/>
          <w:szCs w:val="28"/>
        </w:rPr>
      </w:pPr>
      <w:r w:rsidRPr="0059523A">
        <w:rPr>
          <w:rFonts w:ascii="Times New Roman" w:hAnsi="Times New Roman" w:cs="Times New Roman"/>
          <w:sz w:val="28"/>
          <w:szCs w:val="28"/>
        </w:rPr>
        <w:t>Забігайло В. Шлях України до Європейського Союзу: виконання зобов’язань за Угодою про партнерство і співробітництво в сфері політико-правової реформи та гармонізації права. – К.: UEPLAC, 2000. – с.7.</w:t>
      </w:r>
    </w:p>
    <w:p w:rsidR="00F62CC6" w:rsidRPr="00F62CC6" w:rsidRDefault="00F62CC6" w:rsidP="00F62CC6">
      <w:pPr>
        <w:pStyle w:val="a7"/>
        <w:spacing w:after="0" w:line="240" w:lineRule="auto"/>
        <w:ind w:left="360"/>
        <w:jc w:val="both"/>
        <w:rPr>
          <w:rFonts w:ascii="Times New Roman" w:hAnsi="Times New Roman" w:cs="Times New Roman"/>
          <w:sz w:val="28"/>
          <w:szCs w:val="28"/>
        </w:rPr>
      </w:pPr>
    </w:p>
    <w:p w:rsidR="0059523A" w:rsidRPr="0059523A" w:rsidRDefault="00C1724B" w:rsidP="0059523A">
      <w:pPr>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Зміст лекції</w:t>
      </w:r>
    </w:p>
    <w:p w:rsidR="0059523A" w:rsidRDefault="0059523A" w:rsidP="0059523A">
      <w:pPr>
        <w:pStyle w:val="aa"/>
        <w:ind w:firstLine="709"/>
        <w:jc w:val="both"/>
        <w:rPr>
          <w:rFonts w:ascii="Times New Roman" w:hAnsi="Times New Roman" w:cs="Times New Roman"/>
          <w:b/>
          <w:sz w:val="28"/>
          <w:szCs w:val="28"/>
        </w:rPr>
      </w:pPr>
      <w:r>
        <w:rPr>
          <w:rFonts w:ascii="Times New Roman" w:hAnsi="Times New Roman" w:cs="Times New Roman"/>
          <w:b/>
          <w:sz w:val="28"/>
          <w:szCs w:val="28"/>
        </w:rPr>
        <w:t>1.</w:t>
      </w:r>
      <w:r w:rsidRPr="00BE0639">
        <w:rPr>
          <w:rFonts w:ascii="Times New Roman" w:hAnsi="Times New Roman" w:cs="Times New Roman"/>
          <w:b/>
          <w:sz w:val="28"/>
          <w:szCs w:val="28"/>
        </w:rPr>
        <w:t xml:space="preserve">Вступ </w:t>
      </w:r>
      <w:r>
        <w:rPr>
          <w:rFonts w:ascii="Times New Roman" w:hAnsi="Times New Roman" w:cs="Times New Roman"/>
          <w:b/>
          <w:sz w:val="28"/>
          <w:szCs w:val="28"/>
        </w:rPr>
        <w:t>до навчальної дисципліни «Транспортне право Європейського Союзу».</w:t>
      </w:r>
    </w:p>
    <w:p w:rsidR="0059523A" w:rsidRDefault="0059523A" w:rsidP="0059523A">
      <w:pPr>
        <w:pStyle w:val="aa"/>
        <w:jc w:val="both"/>
        <w:rPr>
          <w:rFonts w:ascii="Times New Roman" w:hAnsi="Times New Roman" w:cs="Times New Roman"/>
          <w:sz w:val="28"/>
          <w:szCs w:val="28"/>
        </w:rPr>
      </w:pPr>
    </w:p>
    <w:p w:rsidR="00BE0639" w:rsidRPr="00BE0639" w:rsidRDefault="00BE0639" w:rsidP="00BE0639">
      <w:pPr>
        <w:pStyle w:val="aa"/>
        <w:ind w:firstLine="709"/>
        <w:jc w:val="both"/>
        <w:rPr>
          <w:rFonts w:ascii="Times New Roman" w:hAnsi="Times New Roman" w:cs="Times New Roman"/>
          <w:sz w:val="28"/>
          <w:szCs w:val="28"/>
        </w:rPr>
      </w:pPr>
      <w:r w:rsidRPr="00BE0639">
        <w:rPr>
          <w:rFonts w:ascii="Times New Roman" w:hAnsi="Times New Roman" w:cs="Times New Roman"/>
          <w:sz w:val="28"/>
          <w:szCs w:val="28"/>
        </w:rPr>
        <w:t xml:space="preserve">Європейський вектор зовнішньої політики України сьогодні вже не лише плани на майбутнє. Процеси глобалізації та інтернаціоналізації охопили нашу країну з моменту проголошення незалежності. </w:t>
      </w:r>
    </w:p>
    <w:p w:rsidR="00BE0639" w:rsidRPr="00BE0639" w:rsidRDefault="00BE0639" w:rsidP="00BE0639">
      <w:pPr>
        <w:pStyle w:val="aa"/>
        <w:ind w:firstLine="709"/>
        <w:jc w:val="both"/>
        <w:rPr>
          <w:rFonts w:ascii="Times New Roman" w:hAnsi="Times New Roman" w:cs="Times New Roman"/>
          <w:sz w:val="28"/>
          <w:szCs w:val="28"/>
        </w:rPr>
      </w:pPr>
      <w:r w:rsidRPr="00BE0639">
        <w:rPr>
          <w:rFonts w:ascii="Times New Roman" w:hAnsi="Times New Roman" w:cs="Times New Roman"/>
          <w:sz w:val="28"/>
          <w:szCs w:val="28"/>
        </w:rPr>
        <w:lastRenderedPageBreak/>
        <w:t xml:space="preserve">Серед провідних напрямків розвитку української економіки не останнє місце займає транспортна галузь, адже Україна займає стратегічне з географічної точки зору місце в Європі і є визнаною як транзитна держава. </w:t>
      </w:r>
    </w:p>
    <w:p w:rsidR="00BE0639" w:rsidRPr="00BE0639" w:rsidRDefault="00BE0639" w:rsidP="00BE0639">
      <w:pPr>
        <w:pStyle w:val="aa"/>
        <w:ind w:firstLine="709"/>
        <w:jc w:val="both"/>
        <w:rPr>
          <w:rFonts w:ascii="Times New Roman" w:hAnsi="Times New Roman" w:cs="Times New Roman"/>
          <w:sz w:val="28"/>
          <w:szCs w:val="28"/>
        </w:rPr>
      </w:pPr>
      <w:r w:rsidRPr="00BE0639">
        <w:rPr>
          <w:rFonts w:ascii="Times New Roman" w:hAnsi="Times New Roman" w:cs="Times New Roman"/>
          <w:sz w:val="28"/>
          <w:szCs w:val="28"/>
        </w:rPr>
        <w:t>Спеціалісти в різних сферах, пов’язаних з транспортною системою, повинні сьогодні володіти не лише знаннями власного законодавства, а також орієнтуватись на складному ринку міжнародних та внутрішньо європейських перевезень.</w:t>
      </w:r>
    </w:p>
    <w:p w:rsidR="00BE0639" w:rsidRPr="00BE0639" w:rsidRDefault="00BE0639" w:rsidP="00BE0639">
      <w:pPr>
        <w:pStyle w:val="aa"/>
        <w:ind w:firstLine="709"/>
        <w:jc w:val="both"/>
        <w:rPr>
          <w:rFonts w:ascii="Times New Roman" w:hAnsi="Times New Roman" w:cs="Times New Roman"/>
          <w:sz w:val="28"/>
          <w:szCs w:val="28"/>
        </w:rPr>
      </w:pPr>
      <w:r w:rsidRPr="00BE0639">
        <w:rPr>
          <w:rFonts w:ascii="Times New Roman" w:hAnsi="Times New Roman" w:cs="Times New Roman"/>
          <w:sz w:val="28"/>
          <w:szCs w:val="28"/>
        </w:rPr>
        <w:t xml:space="preserve">Дисципліна “Транспортне право Європейського Союзу” включає в себе широке коло як теоретичних, так і практичних питань, що стосуються  національно-правових та специфічних міжнародно-правових інструментів, які забезпечують функціонування транспортної політики Європейських Співтовариств, регулюють їх відносини в транспортній галузі з країнами-членами та узагальнюють досвід європейських держав в галузі розвитку транспортної інфраструктури. </w:t>
      </w:r>
    </w:p>
    <w:p w:rsidR="00BE0639" w:rsidRPr="00BE0639" w:rsidRDefault="00BE0639" w:rsidP="00BE0639">
      <w:pPr>
        <w:pStyle w:val="aa"/>
        <w:ind w:firstLine="709"/>
        <w:jc w:val="both"/>
        <w:rPr>
          <w:rFonts w:ascii="Times New Roman" w:hAnsi="Times New Roman" w:cs="Times New Roman"/>
          <w:sz w:val="28"/>
          <w:szCs w:val="28"/>
        </w:rPr>
      </w:pPr>
      <w:r w:rsidRPr="00BE0639">
        <w:rPr>
          <w:rFonts w:ascii="Times New Roman" w:hAnsi="Times New Roman" w:cs="Times New Roman"/>
          <w:sz w:val="28"/>
          <w:szCs w:val="28"/>
        </w:rPr>
        <w:t>Предмет курсу – транспортне право Європейського Союзу – як самостійна галузь права ЄС має комплексну правову природу. Вона поєднує в собі риси, характерні як для міжнародного, так і для національного права, містить норми різних галузей та правових інститутів (адміністративне, цивільне, трудове, екологічне, митне, податкове право та ін..).</w:t>
      </w:r>
    </w:p>
    <w:p w:rsidR="00BE0639" w:rsidRPr="00BE0639" w:rsidRDefault="00BE0639" w:rsidP="00BE0639">
      <w:pPr>
        <w:pStyle w:val="aa"/>
        <w:ind w:firstLine="709"/>
        <w:jc w:val="both"/>
        <w:rPr>
          <w:rFonts w:ascii="Times New Roman" w:hAnsi="Times New Roman" w:cs="Times New Roman"/>
          <w:sz w:val="28"/>
          <w:szCs w:val="28"/>
        </w:rPr>
      </w:pPr>
      <w:r w:rsidRPr="00BE0639">
        <w:rPr>
          <w:rFonts w:ascii="Times New Roman" w:hAnsi="Times New Roman" w:cs="Times New Roman"/>
          <w:sz w:val="28"/>
          <w:szCs w:val="28"/>
        </w:rPr>
        <w:t xml:space="preserve">Складну правову природу має і організація Європейський Союзу, що включає в себе три інших організації (Європейське співтовариство, Європейське об’єднання вугілля та сталі, Європейське об’єднання з атомної енергії). </w:t>
      </w:r>
    </w:p>
    <w:p w:rsidR="00BE0639" w:rsidRPr="00BE0639" w:rsidRDefault="00BE0639" w:rsidP="00BE0639">
      <w:pPr>
        <w:pStyle w:val="aa"/>
        <w:ind w:firstLine="709"/>
        <w:jc w:val="both"/>
        <w:rPr>
          <w:rFonts w:ascii="Times New Roman" w:hAnsi="Times New Roman" w:cs="Times New Roman"/>
          <w:sz w:val="28"/>
          <w:szCs w:val="28"/>
        </w:rPr>
      </w:pPr>
      <w:r w:rsidRPr="00BE0639">
        <w:rPr>
          <w:rFonts w:ascii="Times New Roman" w:hAnsi="Times New Roman" w:cs="Times New Roman"/>
          <w:sz w:val="28"/>
          <w:szCs w:val="28"/>
        </w:rPr>
        <w:t>Створений на підставі міжнародних угод та згідно з основними принципами міжнародного права, Європейський Союз на даному етапі функціонування має ознаки міжнародної організації, конфедерації та федерації. Це зумовлене  наявністю у Союзу  досить широких владних повноважень, що були добровільно передані європейським інституціям з боку держав-членів.</w:t>
      </w:r>
    </w:p>
    <w:p w:rsidR="00BE0639" w:rsidRPr="00BE0639" w:rsidRDefault="00BE0639" w:rsidP="00BE0639">
      <w:pPr>
        <w:pStyle w:val="aa"/>
        <w:ind w:firstLine="709"/>
        <w:jc w:val="both"/>
        <w:rPr>
          <w:rFonts w:ascii="Times New Roman" w:hAnsi="Times New Roman" w:cs="Times New Roman"/>
          <w:sz w:val="28"/>
          <w:szCs w:val="28"/>
        </w:rPr>
      </w:pPr>
      <w:r w:rsidRPr="00BE0639">
        <w:rPr>
          <w:rFonts w:ascii="Times New Roman" w:hAnsi="Times New Roman" w:cs="Times New Roman"/>
          <w:sz w:val="28"/>
          <w:szCs w:val="28"/>
        </w:rPr>
        <w:t>Складний характер юридичної природи Європейського союзу та процедури співробітництва держав в його межах зумовлює і особливості даного курсу.</w:t>
      </w:r>
    </w:p>
    <w:p w:rsidR="00BE0639" w:rsidRPr="00BE0639" w:rsidRDefault="00BE0639" w:rsidP="00BE0639">
      <w:pPr>
        <w:pStyle w:val="aa"/>
        <w:ind w:firstLine="709"/>
        <w:jc w:val="both"/>
        <w:rPr>
          <w:rFonts w:ascii="Times New Roman" w:hAnsi="Times New Roman" w:cs="Times New Roman"/>
          <w:sz w:val="28"/>
          <w:szCs w:val="28"/>
        </w:rPr>
      </w:pPr>
      <w:r w:rsidRPr="00BE0639">
        <w:rPr>
          <w:rFonts w:ascii="Times New Roman" w:hAnsi="Times New Roman" w:cs="Times New Roman"/>
          <w:sz w:val="28"/>
          <w:szCs w:val="28"/>
        </w:rPr>
        <w:t xml:space="preserve">Загальна направленість дисципліни “Транспортне право Європейського Союзу” орієнтована на вивчення студентами економічних, правових та соціально-культурних аспектів співробітництва європейських держав в галузі транспорту, теоретичних та практичних проблем цього процесу, а також можливих  шляхів їх вирішення. </w:t>
      </w:r>
    </w:p>
    <w:p w:rsidR="00BE0639" w:rsidRDefault="00BE0639" w:rsidP="00BE0639">
      <w:pPr>
        <w:pStyle w:val="aa"/>
        <w:ind w:firstLine="709"/>
        <w:jc w:val="both"/>
        <w:rPr>
          <w:rFonts w:ascii="Times New Roman" w:hAnsi="Times New Roman" w:cs="Times New Roman"/>
          <w:sz w:val="28"/>
          <w:szCs w:val="28"/>
        </w:rPr>
      </w:pPr>
      <w:r w:rsidRPr="00BE0639">
        <w:rPr>
          <w:rFonts w:ascii="Times New Roman" w:hAnsi="Times New Roman" w:cs="Times New Roman"/>
          <w:sz w:val="28"/>
          <w:szCs w:val="28"/>
        </w:rPr>
        <w:t>Зв’язок дисципліни “Транспортне право Європейського Союзу” із суміжними дисциплінами та її місце в навчальному процесі обумовлені попереднім вивченням студентами програмного матеріалу дисциплін “Міжнародне публічне  право”, “Фінансове право”, “Конституційне право зарубіжних країн”, “Міжнародне приватне право”, “Право Європейського Союзу”, “Транспортне право”, що сприяє систематизації знань під час вивчення дисципліни “Транспортне право Європейського Союзу” та допомагає сприймати їх як цілісну систему.</w:t>
      </w:r>
    </w:p>
    <w:p w:rsidR="0059523A" w:rsidRPr="00C1724B" w:rsidRDefault="0059523A" w:rsidP="0059523A">
      <w:pPr>
        <w:rPr>
          <w:rFonts w:ascii="Times New Roman" w:eastAsia="Times New Roman" w:hAnsi="Times New Roman" w:cs="Times New Roman"/>
          <w:b/>
          <w:sz w:val="28"/>
          <w:szCs w:val="20"/>
          <w:lang w:eastAsia="ru-RU"/>
        </w:rPr>
      </w:pPr>
    </w:p>
    <w:p w:rsidR="0059523A" w:rsidRPr="0091555C" w:rsidRDefault="0059523A" w:rsidP="0059523A">
      <w:pPr>
        <w:pStyle w:val="aa"/>
        <w:ind w:left="851"/>
        <w:jc w:val="both"/>
        <w:rPr>
          <w:rFonts w:ascii="Times New Roman" w:hAnsi="Times New Roman" w:cs="Times New Roman"/>
          <w:b/>
          <w:sz w:val="28"/>
          <w:szCs w:val="28"/>
        </w:rPr>
      </w:pPr>
      <w:r>
        <w:rPr>
          <w:rFonts w:ascii="Times New Roman" w:hAnsi="Times New Roman" w:cs="Times New Roman"/>
          <w:b/>
          <w:sz w:val="28"/>
          <w:szCs w:val="28"/>
        </w:rPr>
        <w:t>2.</w:t>
      </w:r>
      <w:r w:rsidRPr="0091555C">
        <w:rPr>
          <w:rFonts w:ascii="Times New Roman" w:hAnsi="Times New Roman" w:cs="Times New Roman"/>
          <w:b/>
          <w:sz w:val="28"/>
          <w:szCs w:val="28"/>
        </w:rPr>
        <w:t>Загальні поняття та особливості транспорту ЄС</w:t>
      </w:r>
      <w:r>
        <w:rPr>
          <w:rFonts w:ascii="Times New Roman" w:hAnsi="Times New Roman" w:cs="Times New Roman"/>
          <w:b/>
          <w:sz w:val="28"/>
          <w:szCs w:val="28"/>
        </w:rPr>
        <w:t>.</w:t>
      </w:r>
    </w:p>
    <w:p w:rsidR="0059523A" w:rsidRDefault="0059523A" w:rsidP="0059523A">
      <w:pPr>
        <w:pStyle w:val="aa"/>
        <w:ind w:firstLine="851"/>
        <w:jc w:val="both"/>
        <w:rPr>
          <w:rFonts w:ascii="Times New Roman" w:hAnsi="Times New Roman" w:cs="Times New Roman"/>
          <w:sz w:val="28"/>
          <w:szCs w:val="28"/>
        </w:rPr>
      </w:pPr>
    </w:p>
    <w:p w:rsidR="0059523A" w:rsidRPr="0091555C" w:rsidRDefault="0059523A" w:rsidP="0059523A">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lastRenderedPageBreak/>
        <w:t>Транспорт - це найбільший сектор економіки, який забезпечує близько 10% ВВП ЄС. У Європі, за даними Європейської дорожньої федерації на 2008 р., працівники тільки автотранспортної галузі становили близько 17,5 - 18,0 млн чоловік, 65% з них працювали на наземному транспорті (в який включають залізниці й автошляхи, внутрішні водні шляхи), 2% були зайняті на морському транспорті, 5% - в авіаційному. Ще 29% працювали у допоміжних або суміжних сферах: у вантажно-розвантажувальних роботах, зберіганні, транспортних і туристичних агентствах. Середній зростання пасажирських перевезень у 1995-2008 рр. склав 1,9% в рік, а зростання вантажних перевезень за той же період - 2,9% в рік.</w:t>
      </w:r>
    </w:p>
    <w:p w:rsidR="0059523A" w:rsidRPr="0091555C" w:rsidRDefault="0059523A" w:rsidP="0059523A">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Відмітна особливість транспорту як галузі матеріального виробництва полягає в тому, що він не створює нових матеріальних цінностей і тому не збільшує багатства суспільства. Його продукція - діяльність по територіальному переміщенню вантажів або людей2. Крім того, транспорт самим безпосереднім і вельми суттєвим чином впливає на переміщення речей і населення: на міграцію, торгівлю, робочу силу. Величезна соціальна та економічна залежність від цього сектора господарювання визначила нагальну потребу у створенні особливої </w:t>
      </w:r>
      <w:r w:rsidRPr="0091555C">
        <w:rPr>
          <w:rStyle w:val="a9"/>
          <w:rFonts w:ascii="Times New Roman" w:hAnsi="Times New Roman" w:cs="Times New Roman"/>
          <w:i/>
          <w:iCs/>
          <w:color w:val="000000"/>
          <w:sz w:val="28"/>
          <w:szCs w:val="28"/>
        </w:rPr>
        <w:t>"загальної транспортної політики. </w:t>
      </w:r>
      <w:r w:rsidRPr="0091555C">
        <w:rPr>
          <w:rFonts w:ascii="Times New Roman" w:hAnsi="Times New Roman" w:cs="Times New Roman"/>
          <w:sz w:val="28"/>
          <w:szCs w:val="28"/>
        </w:rPr>
        <w:t>Транспортна політика була проголошена одним з важливих напрямів співпраці Співтовариства ще в Римському договорі 1957 р. Це було обумовлено тим, що саме в Римському договорі 1957 р. була поставлена задача створення спільного ринку в рамках ЄЕС, а без належного розвитку співробітництва в галузі транспорту вільний рух людей і товарів не представляється можливим.</w:t>
      </w:r>
    </w:p>
    <w:p w:rsidR="0059523A" w:rsidRPr="0091555C" w:rsidRDefault="0059523A" w:rsidP="0059523A">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Як у вітчизняній, так і в зарубіжній доктрині, демонструється два основних підходу до дефилированию поняття </w:t>
      </w:r>
      <w:r w:rsidRPr="0091555C">
        <w:rPr>
          <w:rStyle w:val="a9"/>
          <w:rFonts w:ascii="Times New Roman" w:hAnsi="Times New Roman" w:cs="Times New Roman"/>
          <w:i/>
          <w:iCs/>
          <w:color w:val="000000"/>
          <w:sz w:val="28"/>
          <w:szCs w:val="28"/>
        </w:rPr>
        <w:t>транспорт. </w:t>
      </w:r>
      <w:r w:rsidRPr="0091555C">
        <w:rPr>
          <w:rFonts w:ascii="Times New Roman" w:hAnsi="Times New Roman" w:cs="Times New Roman"/>
          <w:sz w:val="28"/>
          <w:szCs w:val="28"/>
        </w:rPr>
        <w:t>У першому випадку, категорія "транспорт" буде сприйматися як різновид сервісу - підприємницької діяльності з надання послуг з перевезення товарів та (або) вантажів; в цьому випадку мова буде йти про професійному транспорті. Тому тут діють принципи свободи надання послуг - одного з найважливіших фундаментальних свобод в ЄС, і це є головне напрям транспортної політики ЄС. З 1 січня 1993 р. ліцензія ЄС повністю замінила національні ліцензії, що видаються раніше державами іноземним перевізникам. У другому випадку, транспорт буде виступати засобом пересування, що належить громадянам чи підприємствам на праві власності. У цьому випадку мова буде йти про власному транспорті.</w:t>
      </w:r>
    </w:p>
    <w:p w:rsidR="0059523A" w:rsidRPr="0091555C" w:rsidRDefault="0059523A" w:rsidP="0059523A">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Так чи інакше, транспортні послуги можливі при наявності таких засобів виробництва, як транспортні засоби та транспортна інфраструктура (шляхи і термінали).</w:t>
      </w:r>
    </w:p>
    <w:p w:rsidR="0059523A" w:rsidRDefault="0059523A" w:rsidP="0059523A">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"Транспорт" у першому з зазначених значень підпадає під дію принципів спільного ринку ЄС, що гарантують свободу підприємницької діяльності фізичним і юридичним особам на всій території інтеграційного об'єднання.</w:t>
      </w:r>
    </w:p>
    <w:p w:rsidR="00A171DB" w:rsidRDefault="00A171DB" w:rsidP="0059523A">
      <w:pPr>
        <w:pStyle w:val="aa"/>
        <w:jc w:val="both"/>
        <w:rPr>
          <w:rFonts w:ascii="Times New Roman" w:hAnsi="Times New Roman" w:cs="Times New Roman"/>
          <w:sz w:val="28"/>
          <w:szCs w:val="28"/>
        </w:rPr>
      </w:pPr>
    </w:p>
    <w:p w:rsidR="00A171DB" w:rsidRPr="0091555C" w:rsidRDefault="0059523A" w:rsidP="0059523A">
      <w:pPr>
        <w:pStyle w:val="aa"/>
        <w:ind w:left="851"/>
        <w:jc w:val="both"/>
        <w:rPr>
          <w:rFonts w:ascii="Times New Roman" w:hAnsi="Times New Roman" w:cs="Times New Roman"/>
          <w:b/>
          <w:sz w:val="28"/>
          <w:szCs w:val="28"/>
        </w:rPr>
      </w:pPr>
      <w:r>
        <w:rPr>
          <w:rFonts w:ascii="Times New Roman" w:hAnsi="Times New Roman" w:cs="Times New Roman"/>
          <w:b/>
          <w:sz w:val="28"/>
          <w:szCs w:val="28"/>
        </w:rPr>
        <w:t>3.</w:t>
      </w:r>
      <w:r w:rsidR="00A171DB" w:rsidRPr="0091555C">
        <w:rPr>
          <w:rFonts w:ascii="Times New Roman" w:hAnsi="Times New Roman" w:cs="Times New Roman"/>
          <w:b/>
          <w:sz w:val="28"/>
          <w:szCs w:val="28"/>
        </w:rPr>
        <w:t>Історія становлення транспортного права ЄС</w:t>
      </w:r>
    </w:p>
    <w:p w:rsidR="00A171DB" w:rsidRPr="0091555C" w:rsidRDefault="00A171DB" w:rsidP="00A171DB">
      <w:pPr>
        <w:pStyle w:val="aa"/>
        <w:ind w:left="1211"/>
        <w:jc w:val="both"/>
        <w:rPr>
          <w:rFonts w:ascii="Times New Roman" w:hAnsi="Times New Roman" w:cs="Times New Roman"/>
          <w:sz w:val="28"/>
          <w:szCs w:val="28"/>
        </w:rPr>
      </w:pPr>
    </w:p>
    <w:p w:rsidR="00A171DB" w:rsidRPr="0091555C" w:rsidRDefault="00A171DB" w:rsidP="00A171DB">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lastRenderedPageBreak/>
        <w:t>Поставлена задача лібералізації перевезень між державами-членами, не мала практичного рішення до середини 1980-х рр.., а кількість джерел транспортного права ЄС було вкрай незначним. Транспорт в момент створення ЄЕС потрапив в "секторну політику Співтовариства. Однак, якщо в таких сферах економічного розвитку країн ЄС, як промисловість або енергетика, механізми регулювання та інтеграції ЄС виступали в основному в якості додаткових заходів до національних пріоритетів, сільське господарство і транспорт планувалися як політика Співтовариства, спрямована на фактичну заміну національних механізмів регулирования1. У 1962 р. Комісією був розроблений спеціальний план необхідних заходів. Рада відхилив цей план. "Загальну" транспортну політику сформувати не вийшло. Як, втім, і сам "загальний ринок ЄС, який у формально-юридичному сенсі повністю набув чинності лише з 1 січня 1993 р. Створення єдиного економічного простору передбачало і наявність "єдиного ринку транспортних послуг. Саме це завдання і повинна була виконати транспортна політика ЄС. Але ця задача виявилася не такою простою як за обсягом, так і за коштами рішення.</w:t>
      </w:r>
    </w:p>
    <w:p w:rsidR="00A171DB" w:rsidRPr="0091555C" w:rsidRDefault="00A171DB" w:rsidP="00A171DB">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Чому ж держави - члени ЄС так пасивно ставилися до регулювання транспортних проблем? Справа в тому, що ця сфера національної інфраструктури завжди була в монопольному становищі - звідси і небажання урядів здійснювати гармонізацію та уніфікацію режиму транспортного сектора. Ці "природні монополії" поступово зживають себе.</w:t>
      </w:r>
    </w:p>
    <w:p w:rsidR="00A171DB" w:rsidRPr="0091555C" w:rsidRDefault="00A171DB" w:rsidP="00A171DB">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Після підписання та вступу в силу Єдиного європейського акта лібералізація транспорту почалася більш інтенсивно.</w:t>
      </w:r>
    </w:p>
    <w:p w:rsidR="00A171DB" w:rsidRPr="0091555C" w:rsidRDefault="00A171DB" w:rsidP="00A171DB">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Європейською радою в Гетеборзі в червні 2001 р. була прийнята так звана "Біла книга - Європейська транспортна політика на період до 2010 року: час рішень". "Біла книга" являє собою збірник документів і пропозицій Європейської комісії зі зміцнення зв'язків між різними видами транспорту, надання населенню необхідних високоякісних і безпечних транспортних послуг і містить близько 60 розробок щодо розвитку транспортної політики в європейських країнах. Прийнятий документ був покликаний змінити до 2010 р. співвідношення видів транспорту шляхом пожвавлення залізниць, сприяння морського транспорту і транспорту на внутрішніх водних шляхах і з'єднання різних видів транспорту, а також включав в себе план дій, спрямованих на поліпшення якості транспортного парку Європи.</w:t>
      </w:r>
    </w:p>
    <w:p w:rsidR="00A171DB" w:rsidRPr="0091555C" w:rsidRDefault="00A171DB" w:rsidP="00A171DB">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xml:space="preserve">Влітку 2006 р. Європейська Комісія схвалила перегляд середньострокових перспектив розвитку транспорту в ЄС та представила "Білу книгу", в якій зроблено акцент на загальні для всіх країн ЄС підходи і спільний діалог з проблем транспорту. Документ також містить план розвитку галузі до 2020 р. 1 Слід зазначити, що до 2020 р. на здійснення тільки проектів ЄС у галузі розвитку ТЕЫ-Т планувалося виділити, в загальній складності, близько 600 млрд євро - цифра величезна. Європейська Комісія вперше поставила потреби споживачів у центр своєї стратегії і запропонувала заходи для виконання цього завдання. Комісія також пропонує стратегію, спрямовану на поступовий розрив взаємозв'язку між постійним зростанням транспорту та економічним зростанням, щоб знизити вплив на навколишнє середовище і </w:t>
      </w:r>
      <w:r w:rsidRPr="0091555C">
        <w:rPr>
          <w:rFonts w:ascii="Times New Roman" w:hAnsi="Times New Roman" w:cs="Times New Roman"/>
          <w:sz w:val="28"/>
          <w:szCs w:val="28"/>
        </w:rPr>
        <w:lastRenderedPageBreak/>
        <w:t>запобігання утворення заторів на дорогах, зберігаючи при цьому економічну конкурентоспроможність ЄС.</w:t>
      </w:r>
    </w:p>
    <w:p w:rsidR="00A171DB" w:rsidRPr="0091555C" w:rsidRDefault="00A171DB" w:rsidP="00A171DB">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28 березня 2011 р. у Брюсселі Європейська рада ухвалила чергову "Білу книгу - дорожню карту переходу Єдиної європейської транспортної зони до конкурентної та енергоефективної транспортній системі", що містить положення про заходи, необхідні для переходу до конкурентної низьковуглецевої економіки до 2050 р.</w:t>
      </w:r>
    </w:p>
    <w:p w:rsidR="00A171DB" w:rsidRPr="0091555C" w:rsidRDefault="00A171DB" w:rsidP="00A171DB">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Серед бажаних досяжних ефектів - результатів реалізації, зазначених у документі завдань:</w:t>
      </w:r>
    </w:p>
    <w:p w:rsidR="00A171DB" w:rsidRPr="0091555C" w:rsidRDefault="00A171DB" w:rsidP="00A171DB">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відсутність машин, що виконують традиційне паливо, в містах;</w:t>
      </w:r>
    </w:p>
    <w:p w:rsidR="00A171DB" w:rsidRPr="0091555C" w:rsidRDefault="00A171DB" w:rsidP="00A171DB">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-досягнення показника в 40% по використанню палива з низьким вмістом вуглецю (вугілля) в авіації, принаймні на 40% зниження викидів від судноплавства;</w:t>
      </w:r>
    </w:p>
    <w:p w:rsidR="00A171DB" w:rsidRPr="0091555C" w:rsidRDefault="00A171DB" w:rsidP="00A171DB">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зміщення на 50% питомої ваги пасажирських та вантажних перевезень на середні дистанції з автомобільного транспорту на залізничний і водний;</w:t>
      </w:r>
    </w:p>
    <w:p w:rsidR="00A171DB" w:rsidRPr="0091555C" w:rsidRDefault="00A171DB" w:rsidP="00A171DB">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скорочення до середини століття (до 2050 р.) за допомогою перелічених заходів транспортних викидів в атмосферу на 60%.</w:t>
      </w:r>
    </w:p>
    <w:p w:rsidR="00A171DB" w:rsidRPr="0091555C" w:rsidRDefault="00A171DB" w:rsidP="00A171DB">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Як було зазначено раніше, транспортний сектор є частиною спільного ринку. У рамках транспортної політики ЄС ця частина ринку регулюється спеціальними нормами, які встановлюють Європейський парламент і Рада.</w:t>
      </w:r>
    </w:p>
    <w:p w:rsidR="00A171DB" w:rsidRPr="0091555C" w:rsidRDefault="00A171DB" w:rsidP="00A171DB">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Сьогодні дані норми спільно з положеннями розд. VI "Транспорт" частини третьої Договору про функціонування ЄС є джерелами формується у системі права ЄС субінститута - транспортного права.</w:t>
      </w:r>
    </w:p>
    <w:p w:rsidR="00A171DB" w:rsidRDefault="00A171DB" w:rsidP="00A171DB">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Однак з інтеграцією транспортної в Співтоваристві держави-члени не поспішали, незважаючи на те, що вже в Римському договорі 1957 р. був спеціальний розділ "Транспорт", в якому на співтовариство покладався обов'язок координації національних заходів держав-членів у сфері транспорту. Норми цього розділу і склали основу правового регулювання політики в галузі транспорту на території ЄС. Ці положення зберегли практично первозданний вигляд, сформувавши однойменний розд. VI "Транспорт" Договору про функціонування ЄС. І все ж в розділ Маастрихтського договору, присвячений транспорту, були внесені деякі зміни. Так, на сферу транспортної політики було поширено голосування кваліфікованою більшістю, а питання безпеки перевезень увійшли до компетенції Ради. У частину третю Договору про функціонування ЄС був також включений окремий розд. XVI, присвячений створення транс'європейських мереж, який сьогодні має важливе значення для регулювання сфери транспорту. У ньому регулюється інтеграційна роль транспортного сектора у вирішенні проблем розвитку єдиної регіональної економіки ЄС.</w:t>
      </w:r>
    </w:p>
    <w:p w:rsidR="00A171DB" w:rsidRDefault="00A171DB" w:rsidP="00A171DB">
      <w:pPr>
        <w:pStyle w:val="aa"/>
        <w:ind w:firstLine="851"/>
        <w:jc w:val="both"/>
        <w:rPr>
          <w:rFonts w:ascii="Times New Roman" w:hAnsi="Times New Roman" w:cs="Times New Roman"/>
          <w:sz w:val="28"/>
          <w:szCs w:val="28"/>
        </w:rPr>
      </w:pPr>
    </w:p>
    <w:p w:rsidR="00AC5275" w:rsidRDefault="004C37C7" w:rsidP="0059523A">
      <w:pP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 </w:t>
      </w:r>
    </w:p>
    <w:p w:rsidR="00AC5275" w:rsidRDefault="00AC5275" w:rsidP="00AC5275">
      <w:pPr>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ЛЕКЦІЯ № 2</w:t>
      </w:r>
    </w:p>
    <w:p w:rsidR="00AC5275" w:rsidRPr="00DE4018" w:rsidRDefault="00AC5275" w:rsidP="00DE4018">
      <w:pP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Тема лекції:</w:t>
      </w:r>
      <w:r w:rsidRPr="00AC5275">
        <w:rPr>
          <w:rFonts w:ascii="Times New Roman" w:hAnsi="Times New Roman" w:cs="Times New Roman"/>
          <w:b/>
          <w:sz w:val="28"/>
          <w:szCs w:val="28"/>
        </w:rPr>
        <w:t xml:space="preserve"> Поняття транспортного права Європейського Союзу та зміст транспортної політики ЄС</w:t>
      </w:r>
    </w:p>
    <w:p w:rsidR="00AC5275" w:rsidRDefault="00AC5275" w:rsidP="00AC5275">
      <w:pPr>
        <w:jc w:val="center"/>
        <w:rPr>
          <w:rFonts w:ascii="Times New Roman" w:eastAsia="Times New Roman" w:hAnsi="Times New Roman" w:cs="Times New Roman"/>
          <w:b/>
          <w:sz w:val="28"/>
          <w:szCs w:val="20"/>
          <w:lang w:eastAsia="ru-RU"/>
        </w:rPr>
      </w:pPr>
      <w:r w:rsidRPr="00C1724B">
        <w:rPr>
          <w:rFonts w:ascii="Times New Roman" w:eastAsia="Times New Roman" w:hAnsi="Times New Roman" w:cs="Times New Roman"/>
          <w:b/>
          <w:sz w:val="28"/>
          <w:szCs w:val="20"/>
          <w:lang w:eastAsia="ru-RU"/>
        </w:rPr>
        <w:lastRenderedPageBreak/>
        <w:t>План лекції</w:t>
      </w:r>
    </w:p>
    <w:p w:rsidR="00317594" w:rsidRPr="00317594" w:rsidRDefault="00317594" w:rsidP="00317594">
      <w:pPr>
        <w:pStyle w:val="aa"/>
        <w:numPr>
          <w:ilvl w:val="0"/>
          <w:numId w:val="15"/>
        </w:numPr>
        <w:jc w:val="both"/>
        <w:rPr>
          <w:rFonts w:ascii="Times New Roman" w:hAnsi="Times New Roman" w:cs="Times New Roman"/>
          <w:b/>
          <w:sz w:val="28"/>
          <w:szCs w:val="28"/>
          <w:lang w:val="ru-RU"/>
        </w:rPr>
      </w:pPr>
      <w:r w:rsidRPr="00A171DB">
        <w:rPr>
          <w:rFonts w:ascii="Times New Roman" w:hAnsi="Times New Roman" w:cs="Times New Roman"/>
          <w:b/>
          <w:sz w:val="28"/>
          <w:szCs w:val="28"/>
        </w:rPr>
        <w:t xml:space="preserve">Поняття права Європейського Союзу та його правова природа. </w:t>
      </w:r>
    </w:p>
    <w:p w:rsidR="00F62CC6" w:rsidRDefault="00317594" w:rsidP="00F62CC6">
      <w:pPr>
        <w:pStyle w:val="aa"/>
        <w:ind w:left="851"/>
        <w:jc w:val="both"/>
        <w:rPr>
          <w:rFonts w:ascii="Times New Roman" w:hAnsi="Times New Roman" w:cs="Times New Roman"/>
          <w:b/>
          <w:sz w:val="28"/>
          <w:szCs w:val="28"/>
        </w:rPr>
      </w:pPr>
      <w:r>
        <w:rPr>
          <w:rFonts w:ascii="Times New Roman" w:hAnsi="Times New Roman" w:cs="Times New Roman"/>
          <w:b/>
          <w:sz w:val="28"/>
          <w:szCs w:val="28"/>
        </w:rPr>
        <w:t>2.</w:t>
      </w:r>
      <w:r w:rsidRPr="0091555C">
        <w:rPr>
          <w:rFonts w:ascii="Times New Roman" w:hAnsi="Times New Roman" w:cs="Times New Roman"/>
          <w:b/>
          <w:sz w:val="28"/>
          <w:szCs w:val="28"/>
        </w:rPr>
        <w:t>Компетенція ЄС у сфері транспортної інтеграції та кооперації</w:t>
      </w:r>
      <w:r w:rsidR="00F62CC6">
        <w:rPr>
          <w:rFonts w:ascii="Times New Roman" w:hAnsi="Times New Roman" w:cs="Times New Roman"/>
          <w:b/>
          <w:sz w:val="28"/>
          <w:szCs w:val="28"/>
        </w:rPr>
        <w:t>.</w:t>
      </w:r>
    </w:p>
    <w:p w:rsidR="00AC5275" w:rsidRDefault="00F62CC6" w:rsidP="00DE4018">
      <w:pPr>
        <w:pStyle w:val="aa"/>
        <w:ind w:left="851"/>
        <w:jc w:val="both"/>
        <w:rPr>
          <w:rFonts w:ascii="Times New Roman" w:hAnsi="Times New Roman" w:cs="Times New Roman"/>
          <w:b/>
          <w:sz w:val="28"/>
          <w:szCs w:val="28"/>
        </w:rPr>
      </w:pPr>
      <w:r w:rsidRPr="00F62CC6">
        <w:rPr>
          <w:rFonts w:ascii="Times New Roman" w:hAnsi="Times New Roman" w:cs="Times New Roman"/>
          <w:b/>
          <w:sz w:val="28"/>
          <w:szCs w:val="28"/>
        </w:rPr>
        <w:t xml:space="preserve"> 3.Обсяг повноважень ЄС у галузі транспортної політики  </w:t>
      </w:r>
    </w:p>
    <w:p w:rsidR="00DE4018" w:rsidRPr="00DE4018" w:rsidRDefault="00DE4018" w:rsidP="00DE4018">
      <w:pPr>
        <w:pStyle w:val="aa"/>
        <w:ind w:left="851"/>
        <w:jc w:val="both"/>
        <w:rPr>
          <w:rFonts w:ascii="Times New Roman" w:hAnsi="Times New Roman" w:cs="Times New Roman"/>
          <w:b/>
          <w:sz w:val="28"/>
          <w:szCs w:val="28"/>
        </w:rPr>
      </w:pPr>
    </w:p>
    <w:p w:rsidR="00AC5275" w:rsidRDefault="00AC5275" w:rsidP="00AC5275">
      <w:pP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Література:</w:t>
      </w:r>
    </w:p>
    <w:p w:rsidR="005355A5" w:rsidRPr="00317594" w:rsidRDefault="005355A5" w:rsidP="005355A5">
      <w:pPr>
        <w:pStyle w:val="a7"/>
        <w:numPr>
          <w:ilvl w:val="0"/>
          <w:numId w:val="2"/>
        </w:numPr>
        <w:spacing w:after="0" w:line="240" w:lineRule="auto"/>
        <w:jc w:val="both"/>
        <w:rPr>
          <w:rFonts w:ascii="Times New Roman" w:hAnsi="Times New Roman" w:cs="Times New Roman"/>
          <w:sz w:val="28"/>
          <w:szCs w:val="28"/>
        </w:rPr>
      </w:pPr>
      <w:r w:rsidRPr="00317594">
        <w:rPr>
          <w:rFonts w:ascii="Times New Roman" w:hAnsi="Times New Roman" w:cs="Times New Roman"/>
          <w:sz w:val="28"/>
          <w:szCs w:val="28"/>
        </w:rPr>
        <w:t>Европейское право: Учеб. для ВУЗов / Под общ. ред. д-ра юрид. наук, проф. Энгина Л.М. –М., 2008.</w:t>
      </w:r>
    </w:p>
    <w:p w:rsidR="005355A5" w:rsidRPr="00317594" w:rsidRDefault="005355A5" w:rsidP="005355A5">
      <w:pPr>
        <w:pStyle w:val="a7"/>
        <w:numPr>
          <w:ilvl w:val="0"/>
          <w:numId w:val="2"/>
        </w:numPr>
        <w:spacing w:after="0" w:line="240" w:lineRule="auto"/>
        <w:ind w:left="0" w:firstLine="360"/>
        <w:jc w:val="both"/>
        <w:rPr>
          <w:rFonts w:ascii="Times New Roman" w:hAnsi="Times New Roman" w:cs="Times New Roman"/>
          <w:sz w:val="28"/>
          <w:szCs w:val="28"/>
        </w:rPr>
      </w:pPr>
      <w:r w:rsidRPr="00317594">
        <w:rPr>
          <w:rFonts w:ascii="Times New Roman" w:hAnsi="Times New Roman" w:cs="Times New Roman"/>
          <w:sz w:val="28"/>
          <w:szCs w:val="28"/>
        </w:rPr>
        <w:t xml:space="preserve"> Кернз В. Вступ до права Європейського Союзу: Навч. посіб.: Пер. з англ. / Наук. ред. С.В.Ісакович, А.С.Метюшев. – К.: Знання, КОО, 2012. -381с. </w:t>
      </w:r>
    </w:p>
    <w:p w:rsidR="005355A5" w:rsidRPr="00317594" w:rsidRDefault="005355A5" w:rsidP="005355A5">
      <w:pPr>
        <w:pStyle w:val="a7"/>
        <w:numPr>
          <w:ilvl w:val="0"/>
          <w:numId w:val="2"/>
        </w:numPr>
        <w:spacing w:after="0" w:line="240" w:lineRule="auto"/>
        <w:ind w:left="0" w:firstLine="360"/>
        <w:jc w:val="both"/>
        <w:rPr>
          <w:rFonts w:ascii="Times New Roman" w:hAnsi="Times New Roman" w:cs="Times New Roman"/>
          <w:sz w:val="28"/>
          <w:szCs w:val="28"/>
        </w:rPr>
      </w:pPr>
      <w:r w:rsidRPr="00317594">
        <w:rPr>
          <w:rFonts w:ascii="Times New Roman" w:hAnsi="Times New Roman" w:cs="Times New Roman"/>
          <w:sz w:val="28"/>
          <w:szCs w:val="28"/>
        </w:rPr>
        <w:t>Татам А. Право Європейського Союзу: Підручник / Пер. з англ. – К., 1998. - 424с.</w:t>
      </w:r>
    </w:p>
    <w:p w:rsidR="005355A5" w:rsidRPr="00317594" w:rsidRDefault="005355A5" w:rsidP="005355A5">
      <w:pPr>
        <w:pStyle w:val="a7"/>
        <w:numPr>
          <w:ilvl w:val="0"/>
          <w:numId w:val="2"/>
        </w:numPr>
        <w:spacing w:after="0" w:line="240" w:lineRule="auto"/>
        <w:ind w:left="0" w:firstLine="360"/>
        <w:jc w:val="both"/>
        <w:rPr>
          <w:rFonts w:ascii="Times New Roman" w:hAnsi="Times New Roman" w:cs="Times New Roman"/>
          <w:sz w:val="28"/>
          <w:szCs w:val="28"/>
        </w:rPr>
      </w:pPr>
      <w:r w:rsidRPr="00317594">
        <w:rPr>
          <w:rFonts w:ascii="Times New Roman" w:hAnsi="Times New Roman" w:cs="Times New Roman"/>
          <w:sz w:val="28"/>
          <w:szCs w:val="28"/>
        </w:rPr>
        <w:t xml:space="preserve">Топорнин   Б.Н. Европейское право: Учеб. –М., 1999. </w:t>
      </w:r>
    </w:p>
    <w:p w:rsidR="005355A5" w:rsidRPr="00317594" w:rsidRDefault="005355A5" w:rsidP="005355A5">
      <w:pPr>
        <w:pStyle w:val="a7"/>
        <w:numPr>
          <w:ilvl w:val="0"/>
          <w:numId w:val="2"/>
        </w:numPr>
        <w:spacing w:after="0" w:line="240" w:lineRule="auto"/>
        <w:ind w:left="0" w:firstLine="360"/>
        <w:jc w:val="both"/>
        <w:rPr>
          <w:rFonts w:ascii="Times New Roman" w:hAnsi="Times New Roman" w:cs="Times New Roman"/>
          <w:sz w:val="28"/>
          <w:szCs w:val="28"/>
        </w:rPr>
      </w:pPr>
      <w:r w:rsidRPr="00317594">
        <w:rPr>
          <w:rFonts w:ascii="Times New Roman" w:hAnsi="Times New Roman" w:cs="Times New Roman"/>
          <w:sz w:val="28"/>
          <w:szCs w:val="28"/>
        </w:rPr>
        <w:t xml:space="preserve"> Гнатовський М. Концепція “європейського правового простору” в контексті проблем європейської інтеграції // Право україни. – 2003. – № 1. - С. 133-135.</w:t>
      </w:r>
    </w:p>
    <w:p w:rsidR="005355A5" w:rsidRPr="00317594" w:rsidRDefault="005355A5" w:rsidP="005355A5">
      <w:pPr>
        <w:pStyle w:val="a7"/>
        <w:numPr>
          <w:ilvl w:val="0"/>
          <w:numId w:val="2"/>
        </w:numPr>
        <w:spacing w:after="0" w:line="240" w:lineRule="auto"/>
        <w:ind w:left="0" w:firstLine="360"/>
        <w:jc w:val="both"/>
        <w:rPr>
          <w:rFonts w:ascii="Times New Roman" w:hAnsi="Times New Roman" w:cs="Times New Roman"/>
          <w:sz w:val="28"/>
          <w:szCs w:val="28"/>
        </w:rPr>
      </w:pPr>
      <w:r w:rsidRPr="00317594">
        <w:rPr>
          <w:rFonts w:ascii="Times New Roman" w:hAnsi="Times New Roman" w:cs="Times New Roman"/>
          <w:sz w:val="28"/>
          <w:szCs w:val="28"/>
        </w:rPr>
        <w:t>Ковальова О. Зближення законодавства Європейського Союзу з правовими системами держав-кандидатів на вступ до ЄС // Право України. – 2003. - № 9. – С. 138-142.</w:t>
      </w:r>
    </w:p>
    <w:p w:rsidR="005355A5" w:rsidRPr="00317594" w:rsidRDefault="005355A5" w:rsidP="005355A5">
      <w:pPr>
        <w:pStyle w:val="a7"/>
        <w:numPr>
          <w:ilvl w:val="0"/>
          <w:numId w:val="2"/>
        </w:numPr>
        <w:spacing w:after="0" w:line="240" w:lineRule="auto"/>
        <w:ind w:left="0" w:firstLine="360"/>
        <w:jc w:val="both"/>
        <w:rPr>
          <w:rFonts w:ascii="Times New Roman" w:hAnsi="Times New Roman" w:cs="Times New Roman"/>
          <w:sz w:val="28"/>
          <w:szCs w:val="28"/>
        </w:rPr>
      </w:pPr>
      <w:r w:rsidRPr="00317594">
        <w:rPr>
          <w:rFonts w:ascii="Times New Roman" w:hAnsi="Times New Roman" w:cs="Times New Roman"/>
          <w:sz w:val="28"/>
          <w:szCs w:val="28"/>
        </w:rPr>
        <w:t>Баймуратов М.О., Максименко С.В. Стратегія інтеграції України до Європейського Союзу: політико-правовий аналіз // Право України. – 2001. - № 10. – С.101.</w:t>
      </w:r>
    </w:p>
    <w:p w:rsidR="00317594" w:rsidRDefault="005355A5" w:rsidP="00AC5275">
      <w:pPr>
        <w:pStyle w:val="a7"/>
        <w:numPr>
          <w:ilvl w:val="0"/>
          <w:numId w:val="2"/>
        </w:numPr>
        <w:spacing w:after="0" w:line="240" w:lineRule="auto"/>
        <w:ind w:left="0" w:firstLine="360"/>
        <w:jc w:val="both"/>
        <w:rPr>
          <w:rFonts w:ascii="Times New Roman" w:hAnsi="Times New Roman" w:cs="Times New Roman"/>
          <w:sz w:val="28"/>
          <w:szCs w:val="28"/>
        </w:rPr>
      </w:pPr>
      <w:r w:rsidRPr="00317594">
        <w:rPr>
          <w:rFonts w:ascii="Times New Roman" w:hAnsi="Times New Roman" w:cs="Times New Roman"/>
          <w:sz w:val="28"/>
          <w:szCs w:val="28"/>
        </w:rPr>
        <w:t>Забігайло В. Шлях України до Європейського Союзу: виконання зобов’язань за Угодою про партнерство і співробітництво в сфері політико-правової реформи та гармонізації права. – К.: UEPLAC, 2000. – с.7.</w:t>
      </w:r>
    </w:p>
    <w:p w:rsidR="00F62CC6" w:rsidRPr="00F62CC6" w:rsidRDefault="00F62CC6" w:rsidP="00F62CC6">
      <w:pPr>
        <w:pStyle w:val="a7"/>
        <w:spacing w:after="0" w:line="240" w:lineRule="auto"/>
        <w:ind w:left="360"/>
        <w:jc w:val="both"/>
        <w:rPr>
          <w:rFonts w:ascii="Times New Roman" w:hAnsi="Times New Roman" w:cs="Times New Roman"/>
          <w:sz w:val="28"/>
          <w:szCs w:val="28"/>
        </w:rPr>
      </w:pPr>
    </w:p>
    <w:p w:rsidR="00AC5275" w:rsidRDefault="00AC5275" w:rsidP="00AC5275">
      <w:pPr>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Зміст лекції</w:t>
      </w:r>
    </w:p>
    <w:p w:rsidR="00A12858" w:rsidRPr="00A171DB" w:rsidRDefault="00317594" w:rsidP="00317594">
      <w:pPr>
        <w:pStyle w:val="aa"/>
        <w:ind w:left="851"/>
        <w:jc w:val="both"/>
        <w:rPr>
          <w:rFonts w:ascii="Times New Roman" w:hAnsi="Times New Roman" w:cs="Times New Roman"/>
          <w:b/>
          <w:sz w:val="28"/>
          <w:szCs w:val="28"/>
          <w:lang w:val="ru-RU"/>
        </w:rPr>
      </w:pPr>
      <w:r>
        <w:rPr>
          <w:rFonts w:ascii="Times New Roman" w:hAnsi="Times New Roman" w:cs="Times New Roman"/>
          <w:b/>
          <w:sz w:val="28"/>
          <w:szCs w:val="28"/>
        </w:rPr>
        <w:t>1.</w:t>
      </w:r>
      <w:r w:rsidR="00A12858" w:rsidRPr="00A171DB">
        <w:rPr>
          <w:rFonts w:ascii="Times New Roman" w:hAnsi="Times New Roman" w:cs="Times New Roman"/>
          <w:b/>
          <w:sz w:val="28"/>
          <w:szCs w:val="28"/>
        </w:rPr>
        <w:t xml:space="preserve">Поняття права Європейського Союзу та його правова природа. </w:t>
      </w:r>
    </w:p>
    <w:p w:rsidR="00A12858" w:rsidRPr="00A12858" w:rsidRDefault="00A12858" w:rsidP="00A12858">
      <w:pPr>
        <w:pStyle w:val="aa"/>
        <w:ind w:firstLine="851"/>
        <w:jc w:val="both"/>
        <w:rPr>
          <w:rFonts w:ascii="Times New Roman" w:hAnsi="Times New Roman" w:cs="Times New Roman"/>
          <w:sz w:val="28"/>
          <w:szCs w:val="28"/>
          <w:lang w:val="ru-RU"/>
        </w:rPr>
      </w:pPr>
    </w:p>
    <w:p w:rsidR="00A12858" w:rsidRPr="00A12858" w:rsidRDefault="00A12858" w:rsidP="00A12858">
      <w:pPr>
        <w:pStyle w:val="aa"/>
        <w:ind w:firstLine="851"/>
        <w:jc w:val="both"/>
        <w:rPr>
          <w:rFonts w:ascii="Times New Roman" w:hAnsi="Times New Roman" w:cs="Times New Roman"/>
          <w:iCs/>
          <w:color w:val="000000"/>
          <w:sz w:val="28"/>
          <w:szCs w:val="28"/>
        </w:rPr>
      </w:pPr>
      <w:r w:rsidRPr="00A12858">
        <w:rPr>
          <w:rFonts w:ascii="Times New Roman" w:hAnsi="Times New Roman" w:cs="Times New Roman"/>
          <w:iCs/>
          <w:color w:val="000000"/>
          <w:sz w:val="28"/>
          <w:szCs w:val="28"/>
        </w:rPr>
        <w:t xml:space="preserve">В більшості джерел іноземної навчальної та наукової літератури, присвяченої міжнародному або європейському праву можна знайти наступне визначення права Європейського Союзу : « право ЄС – це норми, які незалежно від джерела їх походження , спрямовані на регулювання діяльності й політики Європейського Союзу» ( В.Кернз). Згідно з концепцією європейських науковців поряд з терміном «право ЄС» може вживатись також термін «право Співтовариства», який використовувався до створення Європейського Союзу. Сьогодні ці два терміни можна використовувати як взаємозамінні. </w:t>
      </w:r>
    </w:p>
    <w:p w:rsidR="00A12858" w:rsidRPr="00A12858" w:rsidRDefault="00A12858" w:rsidP="00A12858">
      <w:pPr>
        <w:pStyle w:val="aa"/>
        <w:ind w:firstLine="851"/>
        <w:jc w:val="both"/>
        <w:rPr>
          <w:rFonts w:ascii="Times New Roman" w:hAnsi="Times New Roman" w:cs="Times New Roman"/>
          <w:iCs/>
          <w:color w:val="000000"/>
          <w:sz w:val="28"/>
          <w:szCs w:val="28"/>
        </w:rPr>
      </w:pPr>
      <w:r w:rsidRPr="00A12858">
        <w:rPr>
          <w:rFonts w:ascii="Times New Roman" w:hAnsi="Times New Roman" w:cs="Times New Roman"/>
          <w:iCs/>
          <w:color w:val="000000"/>
          <w:sz w:val="28"/>
          <w:szCs w:val="28"/>
        </w:rPr>
        <w:t xml:space="preserve">Російська правова думка стоїть на іншій позиції. Ентін Л.М. вважає, що термін «європейське право» використовується для позначення сукупності правових норм, які регулюють взаємовідносини, що складаються в рамках європейських інтеграційних об’єднань, в рамках Європейських співтовариств та Європейського Союзу. При </w:t>
      </w:r>
      <w:r w:rsidRPr="00A12858">
        <w:rPr>
          <w:rFonts w:ascii="Times New Roman" w:hAnsi="Times New Roman" w:cs="Times New Roman"/>
          <w:iCs/>
          <w:color w:val="000000"/>
          <w:sz w:val="28"/>
          <w:szCs w:val="28"/>
        </w:rPr>
        <w:lastRenderedPageBreak/>
        <w:t xml:space="preserve">цьому важливо мати на увазі, що право Співтовариств та право ЄС – з багатьох сторін співпадають, але не є ідентичними поняттями. Під європейським правом   розуміється система юридичних норм, що створюються у зв’язку з утворенням та функціонуванням Європейських Співтовариств та Європейського Союзу та діють і застосовуються у відповідності зі статутними угодами та загальними принципами права. Європейське право складається з трьох складових : </w:t>
      </w:r>
    </w:p>
    <w:p w:rsidR="00A12858" w:rsidRPr="00A12858" w:rsidRDefault="00A12858" w:rsidP="00A12858">
      <w:pPr>
        <w:pStyle w:val="aa"/>
        <w:ind w:firstLine="851"/>
        <w:jc w:val="both"/>
        <w:rPr>
          <w:rFonts w:ascii="Times New Roman" w:hAnsi="Times New Roman" w:cs="Times New Roman"/>
          <w:iCs/>
          <w:color w:val="000000"/>
          <w:sz w:val="28"/>
          <w:szCs w:val="28"/>
        </w:rPr>
      </w:pPr>
      <w:r w:rsidRPr="00A12858">
        <w:rPr>
          <w:rFonts w:ascii="Times New Roman" w:hAnsi="Times New Roman" w:cs="Times New Roman"/>
          <w:iCs/>
          <w:color w:val="000000"/>
          <w:sz w:val="28"/>
          <w:szCs w:val="28"/>
        </w:rPr>
        <w:t>право Європейських Співтовариств;</w:t>
      </w:r>
    </w:p>
    <w:p w:rsidR="00A12858" w:rsidRPr="00A12858" w:rsidRDefault="00A12858" w:rsidP="00A12858">
      <w:pPr>
        <w:pStyle w:val="aa"/>
        <w:ind w:firstLine="851"/>
        <w:jc w:val="both"/>
        <w:rPr>
          <w:rFonts w:ascii="Times New Roman" w:hAnsi="Times New Roman" w:cs="Times New Roman"/>
          <w:iCs/>
          <w:color w:val="000000"/>
          <w:sz w:val="28"/>
          <w:szCs w:val="28"/>
        </w:rPr>
      </w:pPr>
      <w:r w:rsidRPr="00A12858">
        <w:rPr>
          <w:rFonts w:ascii="Times New Roman" w:hAnsi="Times New Roman" w:cs="Times New Roman"/>
          <w:iCs/>
          <w:color w:val="000000"/>
          <w:sz w:val="28"/>
          <w:szCs w:val="28"/>
        </w:rPr>
        <w:t>право Європейського Союзу, що застосовується в межах другого та третього стовпа;</w:t>
      </w:r>
    </w:p>
    <w:p w:rsidR="00A12858" w:rsidRPr="00A12858" w:rsidRDefault="00A12858" w:rsidP="00A12858">
      <w:pPr>
        <w:pStyle w:val="aa"/>
        <w:ind w:firstLine="851"/>
        <w:jc w:val="both"/>
        <w:rPr>
          <w:rFonts w:ascii="Times New Roman" w:hAnsi="Times New Roman" w:cs="Times New Roman"/>
          <w:iCs/>
          <w:color w:val="000000"/>
          <w:sz w:val="28"/>
          <w:szCs w:val="28"/>
        </w:rPr>
      </w:pPr>
      <w:r w:rsidRPr="00A12858">
        <w:rPr>
          <w:rFonts w:ascii="Times New Roman" w:hAnsi="Times New Roman" w:cs="Times New Roman"/>
          <w:iCs/>
          <w:color w:val="000000"/>
          <w:sz w:val="28"/>
          <w:szCs w:val="28"/>
        </w:rPr>
        <w:t>норми Європейської конвенції про захист прав людини та її основних свобод.</w:t>
      </w:r>
    </w:p>
    <w:p w:rsidR="00A12858" w:rsidRPr="00A12858" w:rsidRDefault="00A12858" w:rsidP="00A12858">
      <w:pPr>
        <w:pStyle w:val="aa"/>
        <w:ind w:firstLine="851"/>
        <w:jc w:val="both"/>
        <w:rPr>
          <w:rFonts w:ascii="Times New Roman" w:hAnsi="Times New Roman" w:cs="Times New Roman"/>
          <w:color w:val="000000"/>
          <w:sz w:val="28"/>
          <w:szCs w:val="28"/>
        </w:rPr>
      </w:pPr>
      <w:r w:rsidRPr="00A12858">
        <w:rPr>
          <w:rFonts w:ascii="Times New Roman" w:hAnsi="Times New Roman" w:cs="Times New Roman"/>
          <w:iCs/>
          <w:color w:val="000000"/>
          <w:sz w:val="28"/>
          <w:szCs w:val="28"/>
        </w:rPr>
        <w:t xml:space="preserve">Серед українських правознавців панує така позиція щодо права ЄС: право Європейського Союзу </w:t>
      </w:r>
      <w:r w:rsidRPr="00A12858">
        <w:rPr>
          <w:rFonts w:ascii="Times New Roman" w:hAnsi="Times New Roman" w:cs="Times New Roman"/>
          <w:color w:val="000000"/>
          <w:sz w:val="28"/>
          <w:szCs w:val="28"/>
        </w:rPr>
        <w:t>– це сукупність правових норм, які регулюють процеси європейської інтеграції, здійснюваної в межах Європейського Союзу.</w:t>
      </w:r>
      <w:r w:rsidRPr="00A12858">
        <w:rPr>
          <w:rFonts w:ascii="Times New Roman" w:hAnsi="Times New Roman" w:cs="Times New Roman"/>
          <w:i/>
          <w:color w:val="000000"/>
          <w:sz w:val="28"/>
          <w:szCs w:val="28"/>
        </w:rPr>
        <w:t xml:space="preserve"> </w:t>
      </w:r>
      <w:r w:rsidRPr="00A12858">
        <w:rPr>
          <w:rFonts w:ascii="Times New Roman" w:hAnsi="Times New Roman" w:cs="Times New Roman"/>
          <w:color w:val="000000"/>
          <w:sz w:val="28"/>
          <w:szCs w:val="28"/>
        </w:rPr>
        <w:t>Економічна інтеграція не може успішно розвиватися без належної правової основи. Такою основою є право Європейського Союзу.</w:t>
      </w:r>
    </w:p>
    <w:p w:rsidR="00A12858" w:rsidRPr="00A12858" w:rsidRDefault="00A12858" w:rsidP="00A12858">
      <w:pPr>
        <w:pStyle w:val="aa"/>
        <w:ind w:firstLine="851"/>
        <w:jc w:val="both"/>
        <w:rPr>
          <w:rFonts w:ascii="Times New Roman" w:hAnsi="Times New Roman" w:cs="Times New Roman"/>
          <w:color w:val="000000"/>
          <w:sz w:val="28"/>
          <w:szCs w:val="28"/>
        </w:rPr>
      </w:pPr>
      <w:r w:rsidRPr="00A12858">
        <w:rPr>
          <w:rFonts w:ascii="Times New Roman" w:hAnsi="Times New Roman" w:cs="Times New Roman"/>
          <w:color w:val="000000"/>
          <w:sz w:val="28"/>
          <w:szCs w:val="28"/>
        </w:rPr>
        <w:t xml:space="preserve">Право Євросоюзу поділяється на первинне і вторинне. До </w:t>
      </w:r>
      <w:r w:rsidRPr="00A12858">
        <w:rPr>
          <w:rFonts w:ascii="Times New Roman" w:hAnsi="Times New Roman" w:cs="Times New Roman"/>
          <w:iCs/>
          <w:color w:val="000000"/>
          <w:sz w:val="28"/>
          <w:szCs w:val="28"/>
        </w:rPr>
        <w:t>первинного права</w:t>
      </w:r>
      <w:r w:rsidRPr="00A12858">
        <w:rPr>
          <w:rFonts w:ascii="Times New Roman" w:hAnsi="Times New Roman" w:cs="Times New Roman"/>
          <w:color w:val="000000"/>
          <w:sz w:val="28"/>
          <w:szCs w:val="28"/>
        </w:rPr>
        <w:t xml:space="preserve"> Європейського Союзу належать норми міжнародних угод, які становлять правову основу для функціонування всіх структур, що формують Євросоюз.  </w:t>
      </w:r>
      <w:r w:rsidRPr="00A12858">
        <w:rPr>
          <w:rFonts w:ascii="Times New Roman" w:hAnsi="Times New Roman" w:cs="Times New Roman"/>
          <w:iCs/>
          <w:color w:val="000000"/>
          <w:sz w:val="28"/>
          <w:szCs w:val="28"/>
        </w:rPr>
        <w:t>Вторинне право</w:t>
      </w:r>
      <w:r w:rsidRPr="00A12858">
        <w:rPr>
          <w:rFonts w:ascii="Times New Roman" w:hAnsi="Times New Roman" w:cs="Times New Roman"/>
          <w:color w:val="000000"/>
          <w:sz w:val="28"/>
          <w:szCs w:val="28"/>
        </w:rPr>
        <w:t xml:space="preserve"> Європейського Союзу являє собою більш складну підсистему норм. До нього відносять норми, закріплені :</w:t>
      </w:r>
    </w:p>
    <w:p w:rsidR="00A12858" w:rsidRPr="00A12858" w:rsidRDefault="00A12858" w:rsidP="00A12858">
      <w:pPr>
        <w:pStyle w:val="aa"/>
        <w:ind w:firstLine="851"/>
        <w:jc w:val="both"/>
        <w:rPr>
          <w:rFonts w:ascii="Times New Roman" w:hAnsi="Times New Roman" w:cs="Times New Roman"/>
          <w:color w:val="000000"/>
          <w:sz w:val="28"/>
          <w:szCs w:val="28"/>
        </w:rPr>
      </w:pPr>
      <w:r w:rsidRPr="00A12858">
        <w:rPr>
          <w:rFonts w:ascii="Times New Roman" w:hAnsi="Times New Roman" w:cs="Times New Roman"/>
          <w:color w:val="000000"/>
          <w:sz w:val="28"/>
          <w:szCs w:val="28"/>
        </w:rPr>
        <w:t>в актах органів Євросоюзу,</w:t>
      </w:r>
    </w:p>
    <w:p w:rsidR="00A12858" w:rsidRPr="00A12858" w:rsidRDefault="00A12858" w:rsidP="00A12858">
      <w:pPr>
        <w:pStyle w:val="aa"/>
        <w:ind w:firstLine="851"/>
        <w:jc w:val="both"/>
        <w:rPr>
          <w:rFonts w:ascii="Times New Roman" w:hAnsi="Times New Roman" w:cs="Times New Roman"/>
          <w:color w:val="000000"/>
          <w:sz w:val="28"/>
          <w:szCs w:val="28"/>
        </w:rPr>
      </w:pPr>
      <w:r w:rsidRPr="00A12858">
        <w:rPr>
          <w:rFonts w:ascii="Times New Roman" w:hAnsi="Times New Roman" w:cs="Times New Roman"/>
          <w:color w:val="000000"/>
          <w:sz w:val="28"/>
          <w:szCs w:val="28"/>
        </w:rPr>
        <w:t xml:space="preserve">у міжнародних угодах, що уклали між собою європейські співтовариства та інші суб’єкти міжнародного права. </w:t>
      </w:r>
    </w:p>
    <w:p w:rsidR="00A12858" w:rsidRPr="00A12858" w:rsidRDefault="00A12858" w:rsidP="00A12858">
      <w:pPr>
        <w:pStyle w:val="aa"/>
        <w:ind w:firstLine="851"/>
        <w:jc w:val="both"/>
        <w:rPr>
          <w:rFonts w:ascii="Times New Roman" w:hAnsi="Times New Roman" w:cs="Times New Roman"/>
          <w:color w:val="000000"/>
          <w:sz w:val="28"/>
          <w:szCs w:val="28"/>
        </w:rPr>
      </w:pPr>
      <w:r w:rsidRPr="00A12858">
        <w:rPr>
          <w:rFonts w:ascii="Times New Roman" w:hAnsi="Times New Roman" w:cs="Times New Roman"/>
          <w:color w:val="000000"/>
          <w:sz w:val="28"/>
          <w:szCs w:val="28"/>
        </w:rPr>
        <w:t xml:space="preserve">Вторинне право Європейського Союзу не повинне суперечити первинному праву Євросоюзу, яке є основою правопорядку Європейського Союзу. Система права Євросоюзу ще перебуває на етапі становлення. Але вже нині можна виокремити такі її складові, як галузі та інститути. </w:t>
      </w:r>
    </w:p>
    <w:p w:rsidR="00A12858" w:rsidRPr="00A12858" w:rsidRDefault="00A12858" w:rsidP="00A12858">
      <w:pPr>
        <w:pStyle w:val="aa"/>
        <w:ind w:firstLine="851"/>
        <w:jc w:val="both"/>
        <w:rPr>
          <w:rFonts w:ascii="Times New Roman" w:hAnsi="Times New Roman" w:cs="Times New Roman"/>
          <w:color w:val="000000"/>
          <w:sz w:val="28"/>
          <w:szCs w:val="28"/>
        </w:rPr>
      </w:pPr>
      <w:r w:rsidRPr="00A12858">
        <w:rPr>
          <w:rFonts w:ascii="Times New Roman" w:hAnsi="Times New Roman" w:cs="Times New Roman"/>
          <w:color w:val="000000"/>
          <w:sz w:val="28"/>
          <w:szCs w:val="28"/>
        </w:rPr>
        <w:t xml:space="preserve">До </w:t>
      </w:r>
      <w:r w:rsidRPr="00A12858">
        <w:rPr>
          <w:rFonts w:ascii="Times New Roman" w:hAnsi="Times New Roman" w:cs="Times New Roman"/>
          <w:iCs/>
          <w:color w:val="000000"/>
          <w:sz w:val="28"/>
          <w:szCs w:val="28"/>
        </w:rPr>
        <w:t>галузей права</w:t>
      </w:r>
      <w:r w:rsidRPr="00A12858">
        <w:rPr>
          <w:rFonts w:ascii="Times New Roman" w:hAnsi="Times New Roman" w:cs="Times New Roman"/>
          <w:color w:val="000000"/>
          <w:sz w:val="28"/>
          <w:szCs w:val="28"/>
        </w:rPr>
        <w:t xml:space="preserve"> Європейського Союзу належать сукупність правових норм, які визначають :</w:t>
      </w:r>
    </w:p>
    <w:p w:rsidR="00A12858" w:rsidRPr="00A12858" w:rsidRDefault="00A12858" w:rsidP="00A12858">
      <w:pPr>
        <w:pStyle w:val="aa"/>
        <w:ind w:firstLine="851"/>
        <w:jc w:val="both"/>
        <w:rPr>
          <w:rFonts w:ascii="Times New Roman" w:hAnsi="Times New Roman" w:cs="Times New Roman"/>
          <w:color w:val="000000"/>
          <w:sz w:val="28"/>
          <w:szCs w:val="28"/>
        </w:rPr>
      </w:pPr>
      <w:r w:rsidRPr="00A12858">
        <w:rPr>
          <w:rFonts w:ascii="Times New Roman" w:hAnsi="Times New Roman" w:cs="Times New Roman"/>
          <w:color w:val="000000"/>
          <w:sz w:val="28"/>
          <w:szCs w:val="28"/>
        </w:rPr>
        <w:t xml:space="preserve">правове становище Євросоюзу; </w:t>
      </w:r>
    </w:p>
    <w:p w:rsidR="00A12858" w:rsidRPr="00A12858" w:rsidRDefault="00A12858" w:rsidP="00A12858">
      <w:pPr>
        <w:pStyle w:val="aa"/>
        <w:ind w:firstLine="851"/>
        <w:jc w:val="both"/>
        <w:rPr>
          <w:rFonts w:ascii="Times New Roman" w:hAnsi="Times New Roman" w:cs="Times New Roman"/>
          <w:color w:val="000000"/>
          <w:sz w:val="28"/>
          <w:szCs w:val="28"/>
        </w:rPr>
      </w:pPr>
      <w:r w:rsidRPr="00A12858">
        <w:rPr>
          <w:rFonts w:ascii="Times New Roman" w:hAnsi="Times New Roman" w:cs="Times New Roman"/>
          <w:color w:val="000000"/>
          <w:sz w:val="28"/>
          <w:szCs w:val="28"/>
        </w:rPr>
        <w:t xml:space="preserve">правове регулювання внутрішнього ринку; </w:t>
      </w:r>
    </w:p>
    <w:p w:rsidR="00A12858" w:rsidRPr="00A12858" w:rsidRDefault="00A12858" w:rsidP="00A12858">
      <w:pPr>
        <w:pStyle w:val="aa"/>
        <w:ind w:firstLine="851"/>
        <w:jc w:val="both"/>
        <w:rPr>
          <w:rFonts w:ascii="Times New Roman" w:hAnsi="Times New Roman" w:cs="Times New Roman"/>
          <w:color w:val="000000"/>
          <w:sz w:val="28"/>
          <w:szCs w:val="28"/>
        </w:rPr>
      </w:pPr>
      <w:r w:rsidRPr="00A12858">
        <w:rPr>
          <w:rFonts w:ascii="Times New Roman" w:hAnsi="Times New Roman" w:cs="Times New Roman"/>
          <w:color w:val="000000"/>
          <w:sz w:val="28"/>
          <w:szCs w:val="28"/>
        </w:rPr>
        <w:t xml:space="preserve">торговельне та комерційне право, </w:t>
      </w:r>
    </w:p>
    <w:p w:rsidR="00A12858" w:rsidRPr="00A12858" w:rsidRDefault="00A12858" w:rsidP="00A12858">
      <w:pPr>
        <w:pStyle w:val="aa"/>
        <w:ind w:firstLine="851"/>
        <w:jc w:val="both"/>
        <w:rPr>
          <w:rFonts w:ascii="Times New Roman" w:hAnsi="Times New Roman" w:cs="Times New Roman"/>
          <w:color w:val="000000"/>
          <w:sz w:val="28"/>
          <w:szCs w:val="28"/>
        </w:rPr>
      </w:pPr>
      <w:r w:rsidRPr="00A12858">
        <w:rPr>
          <w:rFonts w:ascii="Times New Roman" w:hAnsi="Times New Roman" w:cs="Times New Roman"/>
          <w:color w:val="000000"/>
          <w:sz w:val="28"/>
          <w:szCs w:val="28"/>
        </w:rPr>
        <w:t xml:space="preserve">право конкуренції; </w:t>
      </w:r>
    </w:p>
    <w:p w:rsidR="00A12858" w:rsidRPr="00A12858" w:rsidRDefault="00A12858" w:rsidP="00A12858">
      <w:pPr>
        <w:pStyle w:val="aa"/>
        <w:ind w:firstLine="851"/>
        <w:jc w:val="both"/>
        <w:rPr>
          <w:rFonts w:ascii="Times New Roman" w:hAnsi="Times New Roman" w:cs="Times New Roman"/>
          <w:color w:val="000000"/>
          <w:sz w:val="28"/>
          <w:szCs w:val="28"/>
        </w:rPr>
      </w:pPr>
      <w:r w:rsidRPr="00A12858">
        <w:rPr>
          <w:rFonts w:ascii="Times New Roman" w:hAnsi="Times New Roman" w:cs="Times New Roman"/>
          <w:color w:val="000000"/>
          <w:sz w:val="28"/>
          <w:szCs w:val="28"/>
        </w:rPr>
        <w:t xml:space="preserve">право охорони навколишнього середовища; </w:t>
      </w:r>
    </w:p>
    <w:p w:rsidR="00A12858" w:rsidRPr="00A12858" w:rsidRDefault="00A12858" w:rsidP="00A12858">
      <w:pPr>
        <w:pStyle w:val="aa"/>
        <w:ind w:firstLine="851"/>
        <w:jc w:val="both"/>
        <w:rPr>
          <w:rFonts w:ascii="Times New Roman" w:hAnsi="Times New Roman" w:cs="Times New Roman"/>
          <w:color w:val="000000"/>
          <w:sz w:val="28"/>
          <w:szCs w:val="28"/>
        </w:rPr>
      </w:pPr>
      <w:r w:rsidRPr="00A12858">
        <w:rPr>
          <w:rFonts w:ascii="Times New Roman" w:hAnsi="Times New Roman" w:cs="Times New Roman"/>
          <w:color w:val="000000"/>
          <w:sz w:val="28"/>
          <w:szCs w:val="28"/>
        </w:rPr>
        <w:t xml:space="preserve">право щодо державних замовлень; </w:t>
      </w:r>
    </w:p>
    <w:p w:rsidR="00A12858" w:rsidRPr="00A12858" w:rsidRDefault="00A12858" w:rsidP="00A12858">
      <w:pPr>
        <w:pStyle w:val="aa"/>
        <w:ind w:firstLine="851"/>
        <w:jc w:val="both"/>
        <w:rPr>
          <w:rFonts w:ascii="Times New Roman" w:hAnsi="Times New Roman" w:cs="Times New Roman"/>
          <w:color w:val="000000"/>
          <w:sz w:val="28"/>
          <w:szCs w:val="28"/>
        </w:rPr>
      </w:pPr>
      <w:r w:rsidRPr="00A12858">
        <w:rPr>
          <w:rFonts w:ascii="Times New Roman" w:hAnsi="Times New Roman" w:cs="Times New Roman"/>
          <w:color w:val="000000"/>
          <w:sz w:val="28"/>
          <w:szCs w:val="28"/>
        </w:rPr>
        <w:t xml:space="preserve">трудове право; </w:t>
      </w:r>
    </w:p>
    <w:p w:rsidR="00A12858" w:rsidRPr="00A12858" w:rsidRDefault="00A12858" w:rsidP="00A12858">
      <w:pPr>
        <w:pStyle w:val="aa"/>
        <w:ind w:firstLine="851"/>
        <w:jc w:val="both"/>
        <w:rPr>
          <w:rFonts w:ascii="Times New Roman" w:hAnsi="Times New Roman" w:cs="Times New Roman"/>
          <w:color w:val="000000"/>
          <w:sz w:val="28"/>
          <w:szCs w:val="28"/>
        </w:rPr>
      </w:pPr>
      <w:r w:rsidRPr="00A12858">
        <w:rPr>
          <w:rFonts w:ascii="Times New Roman" w:hAnsi="Times New Roman" w:cs="Times New Roman"/>
          <w:color w:val="000000"/>
          <w:sz w:val="28"/>
          <w:szCs w:val="28"/>
        </w:rPr>
        <w:t>право зовнішніх зносин тощо.</w:t>
      </w:r>
    </w:p>
    <w:p w:rsidR="00A12858" w:rsidRPr="00A12858" w:rsidRDefault="00A12858" w:rsidP="00A12858">
      <w:pPr>
        <w:pStyle w:val="aa"/>
        <w:ind w:firstLine="851"/>
        <w:jc w:val="both"/>
        <w:rPr>
          <w:rFonts w:ascii="Times New Roman" w:hAnsi="Times New Roman" w:cs="Times New Roman"/>
          <w:color w:val="000000"/>
          <w:sz w:val="28"/>
          <w:szCs w:val="28"/>
        </w:rPr>
      </w:pPr>
      <w:r w:rsidRPr="00A12858">
        <w:rPr>
          <w:rFonts w:ascii="Times New Roman" w:hAnsi="Times New Roman" w:cs="Times New Roman"/>
          <w:color w:val="000000"/>
          <w:sz w:val="28"/>
          <w:szCs w:val="28"/>
        </w:rPr>
        <w:t xml:space="preserve">Що стосується </w:t>
      </w:r>
      <w:r w:rsidRPr="00A12858">
        <w:rPr>
          <w:rFonts w:ascii="Times New Roman" w:hAnsi="Times New Roman" w:cs="Times New Roman"/>
          <w:iCs/>
          <w:color w:val="000000"/>
          <w:sz w:val="28"/>
          <w:szCs w:val="28"/>
        </w:rPr>
        <w:t>інститутів права</w:t>
      </w:r>
      <w:r w:rsidRPr="00A12858">
        <w:rPr>
          <w:rFonts w:ascii="Times New Roman" w:hAnsi="Times New Roman" w:cs="Times New Roman"/>
          <w:color w:val="000000"/>
          <w:sz w:val="28"/>
          <w:szCs w:val="28"/>
        </w:rPr>
        <w:t xml:space="preserve"> Європейського Союзу, то можна говорити про два їх види. </w:t>
      </w:r>
    </w:p>
    <w:p w:rsidR="00A12858" w:rsidRPr="00A12858" w:rsidRDefault="00A12858" w:rsidP="00A12858">
      <w:pPr>
        <w:pStyle w:val="aa"/>
        <w:ind w:firstLine="851"/>
        <w:jc w:val="both"/>
        <w:rPr>
          <w:rFonts w:ascii="Times New Roman" w:hAnsi="Times New Roman" w:cs="Times New Roman"/>
          <w:color w:val="000000"/>
          <w:sz w:val="28"/>
          <w:szCs w:val="28"/>
        </w:rPr>
      </w:pPr>
      <w:r w:rsidRPr="00A12858">
        <w:rPr>
          <w:rFonts w:ascii="Times New Roman" w:hAnsi="Times New Roman" w:cs="Times New Roman"/>
          <w:color w:val="000000"/>
          <w:sz w:val="28"/>
          <w:szCs w:val="28"/>
        </w:rPr>
        <w:t xml:space="preserve">По-перше, це інститути, що </w:t>
      </w:r>
      <w:r w:rsidRPr="00A12858">
        <w:rPr>
          <w:rFonts w:ascii="Times New Roman" w:hAnsi="Times New Roman" w:cs="Times New Roman"/>
          <w:iCs/>
          <w:color w:val="000000"/>
          <w:sz w:val="28"/>
          <w:szCs w:val="28"/>
        </w:rPr>
        <w:t>є спільними для всієї системи</w:t>
      </w:r>
      <w:r w:rsidRPr="00A12858">
        <w:rPr>
          <w:rFonts w:ascii="Times New Roman" w:hAnsi="Times New Roman" w:cs="Times New Roman"/>
          <w:color w:val="000000"/>
          <w:sz w:val="28"/>
          <w:szCs w:val="28"/>
        </w:rPr>
        <w:t xml:space="preserve"> права Євросоюзу. До них належать:</w:t>
      </w:r>
    </w:p>
    <w:p w:rsidR="00A12858" w:rsidRPr="00A12858" w:rsidRDefault="00A12858" w:rsidP="00A12858">
      <w:pPr>
        <w:pStyle w:val="aa"/>
        <w:ind w:firstLine="851"/>
        <w:jc w:val="both"/>
        <w:rPr>
          <w:rFonts w:ascii="Times New Roman" w:hAnsi="Times New Roman" w:cs="Times New Roman"/>
          <w:color w:val="000000"/>
          <w:sz w:val="28"/>
          <w:szCs w:val="28"/>
        </w:rPr>
      </w:pPr>
      <w:r w:rsidRPr="00A12858">
        <w:rPr>
          <w:rFonts w:ascii="Times New Roman" w:hAnsi="Times New Roman" w:cs="Times New Roman"/>
          <w:color w:val="000000"/>
          <w:sz w:val="28"/>
          <w:szCs w:val="28"/>
        </w:rPr>
        <w:t xml:space="preserve">визнання, </w:t>
      </w:r>
    </w:p>
    <w:p w:rsidR="00A12858" w:rsidRPr="00A12858" w:rsidRDefault="00A12858" w:rsidP="00A12858">
      <w:pPr>
        <w:pStyle w:val="aa"/>
        <w:ind w:firstLine="851"/>
        <w:jc w:val="both"/>
        <w:rPr>
          <w:rFonts w:ascii="Times New Roman" w:hAnsi="Times New Roman" w:cs="Times New Roman"/>
          <w:color w:val="000000"/>
          <w:sz w:val="28"/>
          <w:szCs w:val="28"/>
        </w:rPr>
      </w:pPr>
      <w:r w:rsidRPr="00A12858">
        <w:rPr>
          <w:rFonts w:ascii="Times New Roman" w:hAnsi="Times New Roman" w:cs="Times New Roman"/>
          <w:color w:val="000000"/>
          <w:sz w:val="28"/>
          <w:szCs w:val="28"/>
        </w:rPr>
        <w:lastRenderedPageBreak/>
        <w:t xml:space="preserve">правонаступництво, </w:t>
      </w:r>
    </w:p>
    <w:p w:rsidR="00A12858" w:rsidRPr="00A12858" w:rsidRDefault="00A12858" w:rsidP="00A12858">
      <w:pPr>
        <w:pStyle w:val="aa"/>
        <w:ind w:firstLine="851"/>
        <w:jc w:val="both"/>
        <w:rPr>
          <w:rFonts w:ascii="Times New Roman" w:hAnsi="Times New Roman" w:cs="Times New Roman"/>
          <w:color w:val="000000"/>
          <w:sz w:val="28"/>
          <w:szCs w:val="28"/>
        </w:rPr>
      </w:pPr>
      <w:r w:rsidRPr="00A12858">
        <w:rPr>
          <w:rFonts w:ascii="Times New Roman" w:hAnsi="Times New Roman" w:cs="Times New Roman"/>
          <w:color w:val="000000"/>
          <w:sz w:val="28"/>
          <w:szCs w:val="28"/>
        </w:rPr>
        <w:t xml:space="preserve">відповідальність. </w:t>
      </w:r>
    </w:p>
    <w:p w:rsidR="00A12858" w:rsidRPr="00A12858" w:rsidRDefault="00A12858" w:rsidP="00A12858">
      <w:pPr>
        <w:pStyle w:val="aa"/>
        <w:ind w:firstLine="851"/>
        <w:jc w:val="both"/>
        <w:rPr>
          <w:rFonts w:ascii="Times New Roman" w:hAnsi="Times New Roman" w:cs="Times New Roman"/>
          <w:color w:val="000000"/>
          <w:sz w:val="28"/>
          <w:szCs w:val="28"/>
        </w:rPr>
      </w:pPr>
      <w:r w:rsidRPr="00A12858">
        <w:rPr>
          <w:rFonts w:ascii="Times New Roman" w:hAnsi="Times New Roman" w:cs="Times New Roman"/>
          <w:color w:val="000000"/>
          <w:sz w:val="28"/>
          <w:szCs w:val="28"/>
        </w:rPr>
        <w:t>Окрім цього, у кожній з галузей права Європейського Союзу формуються свої інститути. Наприклад, в межах правового регулювання внутрішнього ринку Євросоюзу діють такі інститути, як :</w:t>
      </w:r>
    </w:p>
    <w:p w:rsidR="00A12858" w:rsidRPr="00A12858" w:rsidRDefault="00A12858" w:rsidP="00A12858">
      <w:pPr>
        <w:pStyle w:val="aa"/>
        <w:ind w:firstLine="851"/>
        <w:jc w:val="both"/>
        <w:rPr>
          <w:rFonts w:ascii="Times New Roman" w:hAnsi="Times New Roman" w:cs="Times New Roman"/>
          <w:color w:val="000000"/>
          <w:sz w:val="28"/>
          <w:szCs w:val="28"/>
        </w:rPr>
      </w:pPr>
      <w:r w:rsidRPr="00A12858">
        <w:rPr>
          <w:rFonts w:ascii="Times New Roman" w:hAnsi="Times New Roman" w:cs="Times New Roman"/>
          <w:color w:val="000000"/>
          <w:sz w:val="28"/>
          <w:szCs w:val="28"/>
        </w:rPr>
        <w:t xml:space="preserve">свобода пересування товарів, </w:t>
      </w:r>
    </w:p>
    <w:p w:rsidR="00A12858" w:rsidRPr="00A12858" w:rsidRDefault="00A12858" w:rsidP="00A12858">
      <w:pPr>
        <w:pStyle w:val="aa"/>
        <w:ind w:firstLine="851"/>
        <w:jc w:val="both"/>
        <w:rPr>
          <w:rFonts w:ascii="Times New Roman" w:hAnsi="Times New Roman" w:cs="Times New Roman"/>
          <w:color w:val="000000"/>
          <w:sz w:val="28"/>
          <w:szCs w:val="28"/>
        </w:rPr>
      </w:pPr>
      <w:r w:rsidRPr="00A12858">
        <w:rPr>
          <w:rFonts w:ascii="Times New Roman" w:hAnsi="Times New Roman" w:cs="Times New Roman"/>
          <w:color w:val="000000"/>
          <w:sz w:val="28"/>
          <w:szCs w:val="28"/>
        </w:rPr>
        <w:t xml:space="preserve">вільний рух людей, </w:t>
      </w:r>
    </w:p>
    <w:p w:rsidR="00A12858" w:rsidRPr="00A12858" w:rsidRDefault="00A12858" w:rsidP="00A12858">
      <w:pPr>
        <w:pStyle w:val="aa"/>
        <w:ind w:firstLine="851"/>
        <w:jc w:val="both"/>
        <w:rPr>
          <w:rFonts w:ascii="Times New Roman" w:hAnsi="Times New Roman" w:cs="Times New Roman"/>
          <w:color w:val="000000"/>
          <w:sz w:val="28"/>
          <w:szCs w:val="28"/>
        </w:rPr>
      </w:pPr>
      <w:r w:rsidRPr="00A12858">
        <w:rPr>
          <w:rFonts w:ascii="Times New Roman" w:hAnsi="Times New Roman" w:cs="Times New Roman"/>
          <w:color w:val="000000"/>
          <w:sz w:val="28"/>
          <w:szCs w:val="28"/>
        </w:rPr>
        <w:t xml:space="preserve">свобода економічної діяльності та надання послуг, </w:t>
      </w:r>
    </w:p>
    <w:p w:rsidR="00A12858" w:rsidRPr="00A12858" w:rsidRDefault="00A12858" w:rsidP="00A12858">
      <w:pPr>
        <w:pStyle w:val="aa"/>
        <w:ind w:firstLine="851"/>
        <w:jc w:val="both"/>
        <w:rPr>
          <w:rFonts w:ascii="Times New Roman" w:hAnsi="Times New Roman" w:cs="Times New Roman"/>
          <w:color w:val="000000"/>
          <w:sz w:val="28"/>
          <w:szCs w:val="28"/>
        </w:rPr>
      </w:pPr>
      <w:r w:rsidRPr="00A12858">
        <w:rPr>
          <w:rFonts w:ascii="Times New Roman" w:hAnsi="Times New Roman" w:cs="Times New Roman"/>
          <w:color w:val="000000"/>
          <w:sz w:val="28"/>
          <w:szCs w:val="28"/>
        </w:rPr>
        <w:t>вільний рух капіталів.</w:t>
      </w:r>
    </w:p>
    <w:p w:rsidR="00A12858" w:rsidRPr="00A12858" w:rsidRDefault="00A12858" w:rsidP="00A12858">
      <w:pPr>
        <w:pStyle w:val="aa"/>
        <w:ind w:firstLine="851"/>
        <w:jc w:val="both"/>
        <w:rPr>
          <w:rFonts w:ascii="Times New Roman" w:hAnsi="Times New Roman" w:cs="Times New Roman"/>
          <w:color w:val="000000"/>
          <w:sz w:val="28"/>
          <w:szCs w:val="28"/>
        </w:rPr>
      </w:pPr>
      <w:r w:rsidRPr="00A12858">
        <w:rPr>
          <w:rFonts w:ascii="Times New Roman" w:hAnsi="Times New Roman" w:cs="Times New Roman"/>
          <w:color w:val="000000"/>
          <w:sz w:val="28"/>
          <w:szCs w:val="28"/>
        </w:rPr>
        <w:t>До згаданих галузей права Євросоюзу треба додати також групи норм, що регулюють європейську інтеграцію у сфері мирного використання атомної енергії. У цій сфері так званої секторної інтеграції склалися та діють окремі нормативні масиви в рамках Євратому.</w:t>
      </w:r>
    </w:p>
    <w:p w:rsidR="00A12858" w:rsidRPr="00A12858" w:rsidRDefault="00A12858" w:rsidP="00A12858">
      <w:pPr>
        <w:pStyle w:val="aa"/>
        <w:ind w:firstLine="851"/>
        <w:jc w:val="both"/>
        <w:rPr>
          <w:rFonts w:ascii="Times New Roman" w:hAnsi="Times New Roman" w:cs="Times New Roman"/>
          <w:color w:val="000000"/>
          <w:sz w:val="28"/>
          <w:szCs w:val="28"/>
        </w:rPr>
      </w:pPr>
      <w:r w:rsidRPr="00A12858">
        <w:rPr>
          <w:rFonts w:ascii="Times New Roman" w:hAnsi="Times New Roman" w:cs="Times New Roman"/>
          <w:color w:val="000000"/>
          <w:sz w:val="28"/>
          <w:szCs w:val="28"/>
        </w:rPr>
        <w:t xml:space="preserve">Характеристика системи права Євросоюзу буде неповною, якщо не звернути уваги на таку її особливість: галузі та інститути права Євросоюзу, як правило, не охоплюють цілком правовідносини в тій чи іншій сфері правового регулювання, а лише доповнюють відповідні галузі національного права держав-членів. </w:t>
      </w:r>
    </w:p>
    <w:p w:rsidR="00A12858" w:rsidRPr="00A12858" w:rsidRDefault="00A12858" w:rsidP="00A12858">
      <w:pPr>
        <w:pStyle w:val="aa"/>
        <w:ind w:firstLine="851"/>
        <w:jc w:val="both"/>
        <w:rPr>
          <w:rFonts w:ascii="Times New Roman" w:hAnsi="Times New Roman" w:cs="Times New Roman"/>
          <w:color w:val="000000"/>
          <w:sz w:val="28"/>
          <w:szCs w:val="28"/>
        </w:rPr>
      </w:pPr>
      <w:r w:rsidRPr="00A12858">
        <w:rPr>
          <w:rFonts w:ascii="Times New Roman" w:hAnsi="Times New Roman" w:cs="Times New Roman"/>
          <w:color w:val="000000"/>
          <w:sz w:val="28"/>
          <w:szCs w:val="28"/>
        </w:rPr>
        <w:t xml:space="preserve">Винятком із цього правил є такі галузі: </w:t>
      </w:r>
    </w:p>
    <w:p w:rsidR="00A12858" w:rsidRPr="00A12858" w:rsidRDefault="00A12858" w:rsidP="00A12858">
      <w:pPr>
        <w:pStyle w:val="aa"/>
        <w:ind w:firstLine="851"/>
        <w:jc w:val="both"/>
        <w:rPr>
          <w:rFonts w:ascii="Times New Roman" w:hAnsi="Times New Roman" w:cs="Times New Roman"/>
          <w:color w:val="000000"/>
          <w:sz w:val="28"/>
          <w:szCs w:val="28"/>
        </w:rPr>
      </w:pPr>
      <w:r w:rsidRPr="00A12858">
        <w:rPr>
          <w:rFonts w:ascii="Times New Roman" w:hAnsi="Times New Roman" w:cs="Times New Roman"/>
          <w:color w:val="000000"/>
          <w:sz w:val="28"/>
          <w:szCs w:val="28"/>
        </w:rPr>
        <w:t xml:space="preserve">норми, що визначають правове становище Євросоюзу, </w:t>
      </w:r>
    </w:p>
    <w:p w:rsidR="00A12858" w:rsidRPr="00A12858" w:rsidRDefault="00A12858" w:rsidP="00A12858">
      <w:pPr>
        <w:pStyle w:val="aa"/>
        <w:ind w:firstLine="851"/>
        <w:jc w:val="both"/>
        <w:rPr>
          <w:rFonts w:ascii="Times New Roman" w:hAnsi="Times New Roman" w:cs="Times New Roman"/>
          <w:color w:val="000000"/>
          <w:sz w:val="28"/>
          <w:szCs w:val="28"/>
        </w:rPr>
      </w:pPr>
      <w:r w:rsidRPr="00A12858">
        <w:rPr>
          <w:rFonts w:ascii="Times New Roman" w:hAnsi="Times New Roman" w:cs="Times New Roman"/>
          <w:color w:val="000000"/>
          <w:sz w:val="28"/>
          <w:szCs w:val="28"/>
        </w:rPr>
        <w:t>право конкуренції та право зовнішніх зносин Євросоюзу.</w:t>
      </w:r>
    </w:p>
    <w:p w:rsidR="00A12858" w:rsidRPr="00A12858" w:rsidRDefault="00A12858" w:rsidP="00A12858">
      <w:pPr>
        <w:pStyle w:val="aa"/>
        <w:ind w:firstLine="851"/>
        <w:jc w:val="both"/>
        <w:rPr>
          <w:rFonts w:ascii="Times New Roman" w:hAnsi="Times New Roman" w:cs="Times New Roman"/>
          <w:color w:val="000000"/>
          <w:sz w:val="28"/>
          <w:szCs w:val="28"/>
        </w:rPr>
      </w:pPr>
      <w:r w:rsidRPr="00A12858">
        <w:rPr>
          <w:rFonts w:ascii="Times New Roman" w:hAnsi="Times New Roman" w:cs="Times New Roman"/>
          <w:color w:val="000000"/>
          <w:sz w:val="28"/>
          <w:szCs w:val="28"/>
        </w:rPr>
        <w:t>Будь-яка стратегія зближення законодавства третіх країн, включаючи Україну, з правом Євросоюзу повинна враховувати цю особливість системи права Європейського Союзу.</w:t>
      </w:r>
    </w:p>
    <w:p w:rsidR="00A12858" w:rsidRPr="00A12858" w:rsidRDefault="00A12858" w:rsidP="00A12858">
      <w:pPr>
        <w:pStyle w:val="aa"/>
        <w:ind w:firstLine="851"/>
        <w:jc w:val="both"/>
        <w:rPr>
          <w:rFonts w:ascii="Times New Roman" w:hAnsi="Times New Roman" w:cs="Times New Roman"/>
          <w:sz w:val="28"/>
          <w:szCs w:val="28"/>
          <w:lang w:val="ru-RU"/>
        </w:rPr>
      </w:pPr>
      <w:r w:rsidRPr="00A12858">
        <w:rPr>
          <w:rFonts w:ascii="Times New Roman" w:hAnsi="Times New Roman" w:cs="Times New Roman"/>
          <w:sz w:val="28"/>
          <w:szCs w:val="28"/>
        </w:rPr>
        <w:t xml:space="preserve">За своєю юридичною природою право Європейського Союзу становить особливу, третю систему права, яка діє поряд з міжнародним та національним правом. </w:t>
      </w:r>
    </w:p>
    <w:p w:rsidR="00A12858" w:rsidRDefault="00A12858" w:rsidP="00A12858">
      <w:pPr>
        <w:pStyle w:val="aa"/>
        <w:ind w:firstLine="851"/>
        <w:jc w:val="both"/>
        <w:rPr>
          <w:rFonts w:ascii="Times New Roman" w:hAnsi="Times New Roman" w:cs="Times New Roman"/>
          <w:color w:val="000000"/>
          <w:sz w:val="28"/>
          <w:szCs w:val="28"/>
          <w:lang w:val="ru-RU"/>
        </w:rPr>
      </w:pPr>
    </w:p>
    <w:p w:rsidR="00D15BCE" w:rsidRDefault="00317594" w:rsidP="00317594">
      <w:pPr>
        <w:pStyle w:val="aa"/>
        <w:ind w:left="851"/>
        <w:jc w:val="both"/>
        <w:rPr>
          <w:rFonts w:ascii="Times New Roman" w:hAnsi="Times New Roman" w:cs="Times New Roman"/>
          <w:b/>
          <w:sz w:val="28"/>
          <w:szCs w:val="28"/>
        </w:rPr>
      </w:pPr>
      <w:r>
        <w:rPr>
          <w:rFonts w:ascii="Times New Roman" w:hAnsi="Times New Roman" w:cs="Times New Roman"/>
          <w:b/>
          <w:sz w:val="28"/>
          <w:szCs w:val="28"/>
        </w:rPr>
        <w:t>2.</w:t>
      </w:r>
      <w:r w:rsidR="00D15BCE" w:rsidRPr="0091555C">
        <w:rPr>
          <w:rFonts w:ascii="Times New Roman" w:hAnsi="Times New Roman" w:cs="Times New Roman"/>
          <w:b/>
          <w:sz w:val="28"/>
          <w:szCs w:val="28"/>
        </w:rPr>
        <w:t>Компетенція ЄС у сфері транспортної інтеграції та кооперації</w:t>
      </w:r>
    </w:p>
    <w:p w:rsidR="00D15BCE" w:rsidRPr="0091555C" w:rsidRDefault="00D15BCE" w:rsidP="00D15BCE">
      <w:pPr>
        <w:pStyle w:val="aa"/>
        <w:ind w:left="1211"/>
        <w:jc w:val="both"/>
        <w:rPr>
          <w:rFonts w:ascii="Times New Roman" w:hAnsi="Times New Roman" w:cs="Times New Roman"/>
          <w:b/>
          <w:sz w:val="28"/>
          <w:szCs w:val="28"/>
        </w:rPr>
      </w:pP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Компетенція ЄС у сфері транспортної інтеграції та кооперації досить обширна:</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ЄС визначає загальні правила міждержавних транспортних перевезень;</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формує умови надання транспортних послуг перевізникам-нерезидентам в країнах ЄС;</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визначає заходи транспортної безпеки;</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визначає ліцензійний порядок надання транспортних послуг (наприклад, на залізничному транспорті) і т. д.</w:t>
      </w:r>
    </w:p>
    <w:p w:rsidR="00D15BCE" w:rsidRPr="0091555C" w:rsidRDefault="00D15BCE" w:rsidP="00D15BCE">
      <w:pPr>
        <w:pStyle w:val="aa"/>
        <w:ind w:firstLine="851"/>
        <w:jc w:val="both"/>
        <w:rPr>
          <w:rFonts w:ascii="Times New Roman" w:hAnsi="Times New Roman" w:cs="Times New Roman"/>
          <w:sz w:val="28"/>
          <w:szCs w:val="28"/>
        </w:rPr>
      </w:pPr>
      <w:r w:rsidRPr="0091555C">
        <w:rPr>
          <w:rStyle w:val="a9"/>
          <w:rFonts w:ascii="Times New Roman" w:hAnsi="Times New Roman" w:cs="Times New Roman"/>
          <w:i/>
          <w:iCs/>
          <w:color w:val="000000"/>
          <w:sz w:val="28"/>
          <w:szCs w:val="28"/>
        </w:rPr>
        <w:t>Спільна транспортна політика </w:t>
      </w:r>
      <w:r w:rsidRPr="0091555C">
        <w:rPr>
          <w:rFonts w:ascii="Times New Roman" w:hAnsi="Times New Roman" w:cs="Times New Roman"/>
          <w:sz w:val="28"/>
          <w:szCs w:val="28"/>
        </w:rPr>
        <w:t>здійснюється шляхом координації зусиль держав-членів. Така координація відноситься до предметів спільного ведення" ЄС і його учасників. У Договорі про функціонування ЄС викладена компетенція держав у процесі регулювання власних транспортних політик. Йдеться:</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lastRenderedPageBreak/>
        <w:t>1) про скасування будь-якої дискримінації, що полягає в застосуванні транспортними агентствами різних тарифів і різних умов при перевезеннях одного і того ж товару і по одним і тим же транспортним шляхах залежно від країни походження або призначення перевезених товарів (п. 1 ст. 95);</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2) про заборону застосування державою-членом до транспортних операцій, здійснюваних в межах ЄС, тарифів та умов, що містять елемент підтримки чи захисту в інтересах одного або декількох певних підприємств або галузей промисловості, якщо це не санкціоновано Комісією (п. 1 ст. 96).</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Розвиток транспортної системи ЄС стикається з рядом серйозних проблем, що значно знижують її ефективність:</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транспортна перевантаженість деяких територій та напрямків і, перш за все, автомобільних магістралей. Ця ж проблема має безпосереднє відношення до залізничної мережі, міських дорогах, аеропортів і спричиняє суттєві економічні втрати, зниження якості життя населення, а також одночасне погіршення транспортного забезпечення ряду периферійних територій;</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транспортна аварійність;</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побоювання шкідливого впливу на навколишнє середовище, здоров'я населення і змінюється климат1; Сьогодні в ЄС є позначення, так звані екологічні знаки, не тільки для продуктів екологічно чистого сільського господарства, споживання побутовою технікою енергії і води, але навіть для витрат пального і емісії транспортними засобами (див. Директиву 99/94/ЄС);</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значне споживання невідновлюваних ресурсів, наприклад, нафтопродуктів.</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Сьогодні спільна транспортна політика ЄС базується на принципах лібералізації й гармонізації. За допомогою встановлення єдиних правил діяльності в рамках спільного ринку ліквідуються перепони і розходження, що існують в транспортному законодавстві держав - членів ЄС. Виправданість вживаються у цьому напрямку зусиль ЄС визначається значимістю перевезень, як найважливішою складовою розвиненої економіки. Останні часто стають джерелом проблем і суперечок, особливо з питань зайнятості та бюджетних відрахувань.</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Що ж стосується питання бюджетування і фіску на транспорті, то він особливо актуальний у ЄС. Постійна підтримка інфраструктури за рахунок водіїв - це джерело соціального невдоволення. Чому потрібно приділяти увагу підтримки вже побудованих доріг? Тому що один євро, вкладений в підтримку автодоріг, еквівалентний двом-трьом євро, вкладених в ремонт автомобілів. Тому для ЄС підтримувати дороги рентабельно, ніж підтримувати автомобілі.</w:t>
      </w:r>
    </w:p>
    <w:p w:rsidR="00D15BCE"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xml:space="preserve">У Європі вважається, що це достатня підстава для того, щоб автомобілісти платили за добре підтримувані дороги, так як даний платіж дешевше, ніж ремонт автомобіля, що експлуатується в поганих дорожніх умовах. Багато підприємців ЄС вважають таку мотивацію аргументом, що використовуються органами ЄС для створення більшого бюджету "в суспільних інтересах". Тобто основною проблемою є прийняття або неприйняття концепції "плати за інфраструктуру": кожен користувач транспортної інфраструктури шкодить суспільству шумом і забрудненнями, які </w:t>
      </w:r>
      <w:r w:rsidRPr="0091555C">
        <w:rPr>
          <w:rFonts w:ascii="Times New Roman" w:hAnsi="Times New Roman" w:cs="Times New Roman"/>
          <w:sz w:val="28"/>
          <w:szCs w:val="28"/>
        </w:rPr>
        <w:lastRenderedPageBreak/>
        <w:t>виробляє його транспортний засіб, тому повинен цьому суспільству заплатити суму, яка покриє вартість пошкодженої інфраструктури та навколишнього середовища. Слід зазначити, що близько третини податків на транспорт витрачається власне на розвиток транспорту-дві третини європейських транспортних податків вже йдуть в загальний бюджет. У відповідності з положеннями Договору про функціонування ЄС різні збори, які стягуються з транспортних засобів при перетині кордонів на додаток до транспортних тарифів, не повинні перевищувати розумного рівня, приймаючи в розрахунок вже вироблені у зв'язку з цим фактичні витрати (ст. 97).</w:t>
      </w:r>
    </w:p>
    <w:p w:rsidR="00F62CC6" w:rsidRDefault="00F62CC6" w:rsidP="00D15BCE">
      <w:pPr>
        <w:pStyle w:val="aa"/>
        <w:ind w:firstLine="851"/>
        <w:jc w:val="both"/>
        <w:rPr>
          <w:rFonts w:ascii="Times New Roman" w:hAnsi="Times New Roman" w:cs="Times New Roman"/>
          <w:sz w:val="28"/>
          <w:szCs w:val="28"/>
        </w:rPr>
      </w:pPr>
    </w:p>
    <w:p w:rsidR="00F62CC6" w:rsidRPr="00F62CC6" w:rsidRDefault="00F62CC6" w:rsidP="00F62CC6">
      <w:pPr>
        <w:pStyle w:val="aa"/>
        <w:ind w:left="1211"/>
        <w:jc w:val="both"/>
        <w:rPr>
          <w:rFonts w:ascii="Times New Roman" w:hAnsi="Times New Roman" w:cs="Times New Roman"/>
          <w:b/>
          <w:sz w:val="28"/>
          <w:szCs w:val="28"/>
        </w:rPr>
      </w:pPr>
      <w:r w:rsidRPr="00F62CC6">
        <w:rPr>
          <w:rFonts w:ascii="Times New Roman" w:hAnsi="Times New Roman" w:cs="Times New Roman"/>
          <w:b/>
          <w:sz w:val="28"/>
          <w:szCs w:val="28"/>
        </w:rPr>
        <w:t xml:space="preserve">3.Обсяг повноважень ЄС у галузі транспортної політики  </w:t>
      </w:r>
    </w:p>
    <w:p w:rsidR="00F62CC6" w:rsidRPr="00F62CC6" w:rsidRDefault="00F62CC6" w:rsidP="00F62CC6">
      <w:pPr>
        <w:pStyle w:val="aa"/>
        <w:ind w:left="851"/>
        <w:jc w:val="both"/>
        <w:rPr>
          <w:rFonts w:ascii="Times New Roman" w:hAnsi="Times New Roman" w:cs="Times New Roman"/>
          <w:sz w:val="28"/>
          <w:szCs w:val="28"/>
        </w:rPr>
      </w:pPr>
    </w:p>
    <w:p w:rsidR="00F62CC6" w:rsidRPr="00F62CC6" w:rsidRDefault="00F62CC6" w:rsidP="00F62CC6">
      <w:pPr>
        <w:pStyle w:val="aa"/>
        <w:ind w:firstLine="851"/>
        <w:jc w:val="both"/>
        <w:rPr>
          <w:rFonts w:ascii="Times New Roman" w:hAnsi="Times New Roman" w:cs="Times New Roman"/>
          <w:sz w:val="28"/>
          <w:szCs w:val="28"/>
        </w:rPr>
      </w:pPr>
      <w:r w:rsidRPr="00F62CC6">
        <w:rPr>
          <w:rFonts w:ascii="Times New Roman" w:hAnsi="Times New Roman" w:cs="Times New Roman"/>
          <w:sz w:val="28"/>
          <w:szCs w:val="28"/>
        </w:rPr>
        <w:t>Обсяг повноважень ЄС у галузі транспортної політики полягає у наступному:</w:t>
      </w:r>
    </w:p>
    <w:p w:rsidR="00F62CC6" w:rsidRPr="00F62CC6" w:rsidRDefault="00F62CC6" w:rsidP="00F62CC6">
      <w:pPr>
        <w:pStyle w:val="aa"/>
        <w:ind w:firstLine="851"/>
        <w:jc w:val="both"/>
        <w:rPr>
          <w:rFonts w:ascii="Times New Roman" w:hAnsi="Times New Roman" w:cs="Times New Roman"/>
          <w:sz w:val="28"/>
          <w:szCs w:val="28"/>
        </w:rPr>
      </w:pPr>
      <w:r w:rsidRPr="00F62CC6">
        <w:rPr>
          <w:rFonts w:ascii="Times New Roman" w:hAnsi="Times New Roman" w:cs="Times New Roman"/>
          <w:sz w:val="28"/>
          <w:szCs w:val="28"/>
        </w:rPr>
        <w:t>- встановлення загальних правил, застосовних до міжнародних транспортних перевезень, надісланих з території або направляються на територію держави-члена або перетинають територію однієї або декількох держав-членів;</w:t>
      </w:r>
    </w:p>
    <w:p w:rsidR="00F62CC6" w:rsidRPr="00F62CC6" w:rsidRDefault="00F62CC6" w:rsidP="00F62CC6">
      <w:pPr>
        <w:pStyle w:val="aa"/>
        <w:ind w:firstLine="851"/>
        <w:jc w:val="both"/>
        <w:rPr>
          <w:rFonts w:ascii="Times New Roman" w:hAnsi="Times New Roman" w:cs="Times New Roman"/>
          <w:sz w:val="28"/>
          <w:szCs w:val="28"/>
        </w:rPr>
      </w:pPr>
      <w:r w:rsidRPr="00F62CC6">
        <w:rPr>
          <w:rFonts w:ascii="Times New Roman" w:hAnsi="Times New Roman" w:cs="Times New Roman"/>
          <w:sz w:val="28"/>
          <w:szCs w:val="28"/>
        </w:rPr>
        <w:t>- умови, на яких нерезиденти, які представляють транспортні послуги, можуть надавати їх на території держави-члена;</w:t>
      </w:r>
    </w:p>
    <w:p w:rsidR="00F62CC6" w:rsidRPr="00F62CC6" w:rsidRDefault="00F62CC6" w:rsidP="00F62CC6">
      <w:pPr>
        <w:pStyle w:val="aa"/>
        <w:ind w:firstLine="851"/>
        <w:jc w:val="both"/>
        <w:rPr>
          <w:rFonts w:ascii="Times New Roman" w:hAnsi="Times New Roman" w:cs="Times New Roman"/>
          <w:sz w:val="28"/>
          <w:szCs w:val="28"/>
        </w:rPr>
      </w:pPr>
      <w:r w:rsidRPr="00F62CC6">
        <w:rPr>
          <w:rFonts w:ascii="Times New Roman" w:hAnsi="Times New Roman" w:cs="Times New Roman"/>
          <w:sz w:val="28"/>
          <w:szCs w:val="28"/>
        </w:rPr>
        <w:t>- заходи по підвищенню безпеки на транспорті та всі інші необхідні положення.</w:t>
      </w:r>
    </w:p>
    <w:p w:rsidR="00F62CC6" w:rsidRDefault="00F62CC6" w:rsidP="00F62CC6">
      <w:pPr>
        <w:pStyle w:val="aa"/>
        <w:ind w:firstLine="851"/>
        <w:jc w:val="both"/>
        <w:rPr>
          <w:rFonts w:ascii="Times New Roman" w:hAnsi="Times New Roman" w:cs="Times New Roman"/>
          <w:sz w:val="28"/>
          <w:szCs w:val="28"/>
        </w:rPr>
      </w:pPr>
      <w:r w:rsidRPr="00F62CC6">
        <w:rPr>
          <w:rFonts w:ascii="Times New Roman" w:hAnsi="Times New Roman" w:cs="Times New Roman"/>
          <w:sz w:val="28"/>
          <w:szCs w:val="28"/>
        </w:rPr>
        <w:t>Однак не всі види транспорту спочатку піддаються регулюванню "союзними органами" ЄС, а лише ті, які вважалися найбільш важливими в контексті спільного ринку Співтовариства: </w:t>
      </w:r>
      <w:r w:rsidRPr="00F62CC6">
        <w:rPr>
          <w:rStyle w:val="a9"/>
          <w:rFonts w:ascii="Times New Roman" w:hAnsi="Times New Roman" w:cs="Times New Roman"/>
          <w:i/>
          <w:iCs/>
          <w:color w:val="000000"/>
          <w:sz w:val="28"/>
          <w:szCs w:val="28"/>
        </w:rPr>
        <w:t>автомобільний, залізничний </w:t>
      </w:r>
      <w:r w:rsidRPr="00F62CC6">
        <w:rPr>
          <w:rFonts w:ascii="Times New Roman" w:hAnsi="Times New Roman" w:cs="Times New Roman"/>
          <w:sz w:val="28"/>
          <w:szCs w:val="28"/>
        </w:rPr>
        <w:t>і </w:t>
      </w:r>
      <w:r w:rsidRPr="00F62CC6">
        <w:rPr>
          <w:rStyle w:val="a9"/>
          <w:rFonts w:ascii="Times New Roman" w:hAnsi="Times New Roman" w:cs="Times New Roman"/>
          <w:i/>
          <w:iCs/>
          <w:color w:val="000000"/>
          <w:sz w:val="28"/>
          <w:szCs w:val="28"/>
        </w:rPr>
        <w:t>внутрішній водний. </w:t>
      </w:r>
      <w:r w:rsidRPr="00F62CC6">
        <w:rPr>
          <w:rFonts w:ascii="Times New Roman" w:hAnsi="Times New Roman" w:cs="Times New Roman"/>
          <w:sz w:val="28"/>
          <w:szCs w:val="28"/>
        </w:rPr>
        <w:t>Всі інші види знаходяться у сфері компетенції держав-членів, хоча Рада ЄС і має право прийняти якісь регулятивні заходи, але зовсім не зобов'язаний це робити.</w:t>
      </w:r>
    </w:p>
    <w:p w:rsidR="00317594" w:rsidRDefault="00317594" w:rsidP="00317594">
      <w:pPr>
        <w:pStyle w:val="aa"/>
        <w:jc w:val="both"/>
        <w:rPr>
          <w:rFonts w:ascii="Times New Roman" w:hAnsi="Times New Roman" w:cs="Times New Roman"/>
          <w:color w:val="000000"/>
          <w:sz w:val="28"/>
          <w:szCs w:val="28"/>
        </w:rPr>
      </w:pPr>
    </w:p>
    <w:p w:rsidR="00AC5275" w:rsidRDefault="00AC5275" w:rsidP="00317594">
      <w:pPr>
        <w:jc w:val="center"/>
        <w:rPr>
          <w:rFonts w:ascii="Times New Roman" w:eastAsia="Times New Roman" w:hAnsi="Times New Roman" w:cs="Times New Roman"/>
          <w:b/>
          <w:sz w:val="28"/>
          <w:szCs w:val="20"/>
          <w:lang w:val="ru-RU" w:eastAsia="ru-RU"/>
        </w:rPr>
      </w:pPr>
    </w:p>
    <w:p w:rsidR="00F62CC6" w:rsidRDefault="00F62CC6" w:rsidP="00317594">
      <w:pPr>
        <w:jc w:val="center"/>
        <w:rPr>
          <w:rFonts w:ascii="Times New Roman" w:eastAsia="Times New Roman" w:hAnsi="Times New Roman" w:cs="Times New Roman"/>
          <w:b/>
          <w:sz w:val="28"/>
          <w:szCs w:val="20"/>
          <w:lang w:val="ru-RU" w:eastAsia="ru-RU"/>
        </w:rPr>
      </w:pPr>
    </w:p>
    <w:p w:rsidR="00F62CC6" w:rsidRPr="00317594" w:rsidRDefault="00F62CC6" w:rsidP="00DE4018">
      <w:pPr>
        <w:rPr>
          <w:rFonts w:ascii="Times New Roman" w:eastAsia="Times New Roman" w:hAnsi="Times New Roman" w:cs="Times New Roman"/>
          <w:b/>
          <w:sz w:val="28"/>
          <w:szCs w:val="20"/>
          <w:lang w:val="ru-RU" w:eastAsia="ru-RU"/>
        </w:rPr>
      </w:pPr>
    </w:p>
    <w:p w:rsidR="00AC5275" w:rsidRPr="00317594" w:rsidRDefault="00AC5275" w:rsidP="00AC5275">
      <w:pPr>
        <w:jc w:val="center"/>
        <w:rPr>
          <w:rFonts w:ascii="Times New Roman" w:eastAsia="Times New Roman" w:hAnsi="Times New Roman" w:cs="Times New Roman"/>
          <w:b/>
          <w:sz w:val="28"/>
          <w:szCs w:val="20"/>
          <w:lang w:eastAsia="ru-RU"/>
        </w:rPr>
      </w:pPr>
      <w:r w:rsidRPr="00317594">
        <w:rPr>
          <w:rFonts w:ascii="Times New Roman" w:eastAsia="Times New Roman" w:hAnsi="Times New Roman" w:cs="Times New Roman"/>
          <w:b/>
          <w:sz w:val="28"/>
          <w:szCs w:val="20"/>
          <w:lang w:eastAsia="ru-RU"/>
        </w:rPr>
        <w:t>ЛЕКЦІЯ № 3</w:t>
      </w:r>
    </w:p>
    <w:p w:rsidR="00DE4018" w:rsidRDefault="00AC5275" w:rsidP="00AC5275">
      <w:pPr>
        <w:rPr>
          <w:rFonts w:ascii="Times New Roman" w:hAnsi="Times New Roman" w:cs="Times New Roman"/>
          <w:b/>
          <w:sz w:val="28"/>
          <w:szCs w:val="28"/>
        </w:rPr>
      </w:pPr>
      <w:r w:rsidRPr="00317594">
        <w:rPr>
          <w:rFonts w:ascii="Times New Roman" w:eastAsia="Times New Roman" w:hAnsi="Times New Roman" w:cs="Times New Roman"/>
          <w:b/>
          <w:sz w:val="28"/>
          <w:szCs w:val="20"/>
          <w:lang w:eastAsia="ru-RU"/>
        </w:rPr>
        <w:t>Тема лекції:</w:t>
      </w:r>
      <w:r w:rsidRPr="00317594">
        <w:rPr>
          <w:rFonts w:ascii="Times New Roman" w:hAnsi="Times New Roman" w:cs="Times New Roman"/>
          <w:b/>
          <w:sz w:val="28"/>
          <w:szCs w:val="28"/>
        </w:rPr>
        <w:t xml:space="preserve"> Організаційно-правові засади спільної діяльності держав-членів ЄС у галузі повітряного тран</w:t>
      </w:r>
      <w:r w:rsidRPr="00AC5275">
        <w:rPr>
          <w:rFonts w:ascii="Times New Roman" w:hAnsi="Times New Roman" w:cs="Times New Roman"/>
          <w:b/>
          <w:sz w:val="28"/>
          <w:szCs w:val="28"/>
        </w:rPr>
        <w:t>спорту</w:t>
      </w:r>
    </w:p>
    <w:p w:rsidR="00752E2F" w:rsidRPr="00DE4018" w:rsidRDefault="00DE4018" w:rsidP="00DE4018">
      <w:pPr>
        <w:jc w:val="center"/>
        <w:rPr>
          <w:rFonts w:ascii="Times New Roman" w:hAnsi="Times New Roman" w:cs="Times New Roman"/>
          <w:b/>
          <w:sz w:val="28"/>
          <w:szCs w:val="28"/>
        </w:rPr>
      </w:pPr>
      <w:r>
        <w:rPr>
          <w:rFonts w:ascii="Times New Roman" w:hAnsi="Times New Roman" w:cs="Times New Roman"/>
          <w:b/>
          <w:sz w:val="28"/>
          <w:szCs w:val="28"/>
        </w:rPr>
        <w:t>План</w:t>
      </w:r>
      <w:r w:rsidR="00317594">
        <w:rPr>
          <w:rFonts w:ascii="Times New Roman" w:hAnsi="Times New Roman" w:cs="Times New Roman"/>
          <w:b/>
          <w:sz w:val="28"/>
          <w:szCs w:val="28"/>
        </w:rPr>
        <w:t xml:space="preserve"> лекції</w:t>
      </w:r>
    </w:p>
    <w:p w:rsidR="00752E2F" w:rsidRDefault="00752E2F" w:rsidP="00752E2F">
      <w:pPr>
        <w:pStyle w:val="aa"/>
        <w:jc w:val="both"/>
        <w:rPr>
          <w:rStyle w:val="a9"/>
          <w:rFonts w:ascii="Times New Roman" w:hAnsi="Times New Roman" w:cs="Times New Roman"/>
          <w:b w:val="0"/>
          <w:bCs w:val="0"/>
          <w:sz w:val="28"/>
          <w:szCs w:val="28"/>
        </w:rPr>
      </w:pPr>
      <w:r>
        <w:rPr>
          <w:rStyle w:val="a9"/>
          <w:rFonts w:ascii="Times New Roman" w:hAnsi="Times New Roman" w:cs="Times New Roman"/>
          <w:iCs/>
          <w:color w:val="000000"/>
          <w:sz w:val="28"/>
          <w:szCs w:val="28"/>
        </w:rPr>
        <w:t>1.</w:t>
      </w:r>
      <w:r w:rsidRPr="0004305F">
        <w:rPr>
          <w:rStyle w:val="a9"/>
          <w:rFonts w:ascii="Times New Roman" w:hAnsi="Times New Roman" w:cs="Times New Roman"/>
          <w:iCs/>
          <w:color w:val="000000"/>
          <w:sz w:val="28"/>
          <w:szCs w:val="28"/>
        </w:rPr>
        <w:t>Формування єдиного європейського повітряного простору</w:t>
      </w:r>
      <w:r>
        <w:rPr>
          <w:rStyle w:val="a9"/>
          <w:rFonts w:ascii="Times New Roman" w:hAnsi="Times New Roman" w:cs="Times New Roman"/>
          <w:i/>
          <w:iCs/>
          <w:color w:val="000000"/>
          <w:sz w:val="28"/>
          <w:szCs w:val="28"/>
        </w:rPr>
        <w:t>.</w:t>
      </w:r>
      <w:r w:rsidRPr="0091555C">
        <w:rPr>
          <w:rStyle w:val="a9"/>
          <w:rFonts w:ascii="Times New Roman" w:hAnsi="Times New Roman" w:cs="Times New Roman"/>
          <w:i/>
          <w:iCs/>
          <w:color w:val="000000"/>
          <w:sz w:val="28"/>
          <w:szCs w:val="28"/>
        </w:rPr>
        <w:t> </w:t>
      </w:r>
    </w:p>
    <w:p w:rsidR="00752E2F" w:rsidRDefault="00752E2F" w:rsidP="00752E2F">
      <w:pPr>
        <w:pStyle w:val="aa"/>
        <w:jc w:val="both"/>
        <w:rPr>
          <w:rFonts w:ascii="Times New Roman" w:hAnsi="Times New Roman" w:cs="Times New Roman"/>
          <w:sz w:val="28"/>
          <w:szCs w:val="28"/>
        </w:rPr>
      </w:pPr>
      <w:r>
        <w:rPr>
          <w:rStyle w:val="a9"/>
          <w:rFonts w:ascii="Times New Roman" w:hAnsi="Times New Roman" w:cs="Times New Roman"/>
          <w:b w:val="0"/>
          <w:bCs w:val="0"/>
          <w:sz w:val="28"/>
          <w:szCs w:val="28"/>
        </w:rPr>
        <w:t>2.</w:t>
      </w:r>
      <w:r w:rsidRPr="00752E2F">
        <w:rPr>
          <w:rFonts w:ascii="Times New Roman" w:hAnsi="Times New Roman" w:cs="Times New Roman"/>
          <w:b/>
          <w:sz w:val="28"/>
          <w:szCs w:val="28"/>
        </w:rPr>
        <w:t>Особливість повітряного права ЄС.</w:t>
      </w:r>
    </w:p>
    <w:p w:rsidR="00317594" w:rsidRPr="00752E2F" w:rsidRDefault="0004305F" w:rsidP="00752E2F">
      <w:pPr>
        <w:pStyle w:val="aa"/>
        <w:jc w:val="both"/>
        <w:rPr>
          <w:rFonts w:ascii="Times New Roman" w:hAnsi="Times New Roman" w:cs="Times New Roman"/>
          <w:sz w:val="28"/>
          <w:szCs w:val="28"/>
        </w:rPr>
      </w:pPr>
      <w:r w:rsidRPr="00752E2F">
        <w:rPr>
          <w:rStyle w:val="a9"/>
          <w:rFonts w:ascii="Times New Roman" w:hAnsi="Times New Roman" w:cs="Times New Roman"/>
          <w:iCs/>
          <w:color w:val="000000"/>
          <w:sz w:val="28"/>
          <w:szCs w:val="28"/>
        </w:rPr>
        <w:t>3.Змішані перевезення.</w:t>
      </w:r>
      <w:r w:rsidRPr="00752E2F">
        <w:rPr>
          <w:rStyle w:val="a9"/>
          <w:rFonts w:ascii="Times New Roman" w:hAnsi="Times New Roman" w:cs="Times New Roman"/>
          <w:i/>
          <w:iCs/>
          <w:color w:val="000000"/>
          <w:sz w:val="28"/>
          <w:szCs w:val="28"/>
        </w:rPr>
        <w:t> </w:t>
      </w:r>
    </w:p>
    <w:p w:rsidR="00317594" w:rsidRDefault="00317594" w:rsidP="00AC5275">
      <w:pPr>
        <w:rPr>
          <w:rFonts w:ascii="Times New Roman" w:eastAsia="Times New Roman" w:hAnsi="Times New Roman" w:cs="Times New Roman"/>
          <w:sz w:val="28"/>
          <w:szCs w:val="20"/>
          <w:lang w:eastAsia="ru-RU"/>
        </w:rPr>
      </w:pPr>
    </w:p>
    <w:p w:rsidR="00DE4018" w:rsidRPr="00DE4018" w:rsidRDefault="00DE4018" w:rsidP="00DE4018">
      <w:pPr>
        <w:rPr>
          <w:rFonts w:ascii="Times New Roman" w:eastAsia="Times New Roman" w:hAnsi="Times New Roman" w:cs="Times New Roman"/>
          <w:b/>
          <w:sz w:val="28"/>
          <w:szCs w:val="20"/>
          <w:lang w:eastAsia="ru-RU"/>
        </w:rPr>
      </w:pPr>
      <w:r w:rsidRPr="00DE4018">
        <w:rPr>
          <w:rFonts w:ascii="Times New Roman" w:eastAsia="Times New Roman" w:hAnsi="Times New Roman" w:cs="Times New Roman"/>
          <w:b/>
          <w:sz w:val="28"/>
          <w:szCs w:val="20"/>
          <w:lang w:eastAsia="ru-RU"/>
        </w:rPr>
        <w:t>Література:</w:t>
      </w:r>
    </w:p>
    <w:p w:rsidR="00DE4018" w:rsidRPr="00DE4018" w:rsidRDefault="00DE4018" w:rsidP="00DE4018">
      <w:pPr>
        <w:pStyle w:val="a7"/>
        <w:numPr>
          <w:ilvl w:val="0"/>
          <w:numId w:val="3"/>
        </w:numPr>
        <w:spacing w:after="0" w:line="240" w:lineRule="auto"/>
        <w:jc w:val="both"/>
        <w:rPr>
          <w:rFonts w:ascii="Times New Roman" w:hAnsi="Times New Roman" w:cs="Times New Roman"/>
          <w:sz w:val="28"/>
          <w:szCs w:val="28"/>
        </w:rPr>
      </w:pPr>
      <w:r w:rsidRPr="00DE4018">
        <w:rPr>
          <w:rFonts w:ascii="Times New Roman" w:hAnsi="Times New Roman" w:cs="Times New Roman"/>
          <w:sz w:val="28"/>
          <w:szCs w:val="28"/>
        </w:rPr>
        <w:lastRenderedPageBreak/>
        <w:t>Европейское право: Учеб. для ВУЗов / Под общ. ред. д-ра юрид. наук, проф. Энгина Л.М. –М., 2008.</w:t>
      </w:r>
    </w:p>
    <w:p w:rsidR="00DE4018" w:rsidRPr="00DE4018" w:rsidRDefault="00DE4018" w:rsidP="00DE4018">
      <w:pPr>
        <w:pStyle w:val="a7"/>
        <w:numPr>
          <w:ilvl w:val="0"/>
          <w:numId w:val="3"/>
        </w:numPr>
        <w:spacing w:after="0" w:line="240" w:lineRule="auto"/>
        <w:ind w:left="0" w:firstLine="360"/>
        <w:jc w:val="both"/>
        <w:rPr>
          <w:rFonts w:ascii="Times New Roman" w:hAnsi="Times New Roman" w:cs="Times New Roman"/>
          <w:sz w:val="28"/>
          <w:szCs w:val="28"/>
        </w:rPr>
      </w:pPr>
      <w:r w:rsidRPr="00DE4018">
        <w:rPr>
          <w:rFonts w:ascii="Times New Roman" w:hAnsi="Times New Roman" w:cs="Times New Roman"/>
          <w:sz w:val="28"/>
          <w:szCs w:val="28"/>
        </w:rPr>
        <w:t xml:space="preserve"> Кернз В. Вступ до права Європейського Союзу: Навч. посіб.: Пер. з англ. / Наук. ред. С.В.Ісакович, А.С.Метюшев. – К.: Знання, КОО, 2012. -381с. </w:t>
      </w:r>
    </w:p>
    <w:p w:rsidR="00DE4018" w:rsidRPr="00DE4018" w:rsidRDefault="00DE4018" w:rsidP="00DE4018">
      <w:pPr>
        <w:pStyle w:val="a7"/>
        <w:numPr>
          <w:ilvl w:val="0"/>
          <w:numId w:val="3"/>
        </w:numPr>
        <w:spacing w:after="0" w:line="240" w:lineRule="auto"/>
        <w:ind w:left="0" w:firstLine="360"/>
        <w:jc w:val="both"/>
        <w:rPr>
          <w:rFonts w:ascii="Times New Roman" w:hAnsi="Times New Roman" w:cs="Times New Roman"/>
          <w:sz w:val="28"/>
          <w:szCs w:val="28"/>
        </w:rPr>
      </w:pPr>
      <w:r w:rsidRPr="00DE4018">
        <w:rPr>
          <w:rFonts w:ascii="Times New Roman" w:hAnsi="Times New Roman" w:cs="Times New Roman"/>
          <w:sz w:val="28"/>
          <w:szCs w:val="28"/>
        </w:rPr>
        <w:t>Татам А. Право Європейського Союзу: Підручник / Пер. з англ. – К., 1998. - 424с.</w:t>
      </w:r>
    </w:p>
    <w:p w:rsidR="00DE4018" w:rsidRPr="00DE4018" w:rsidRDefault="00DE4018" w:rsidP="00DE4018">
      <w:pPr>
        <w:pStyle w:val="a7"/>
        <w:numPr>
          <w:ilvl w:val="0"/>
          <w:numId w:val="3"/>
        </w:numPr>
        <w:spacing w:after="0" w:line="240" w:lineRule="auto"/>
        <w:ind w:left="0" w:firstLine="360"/>
        <w:jc w:val="both"/>
        <w:rPr>
          <w:rFonts w:ascii="Times New Roman" w:hAnsi="Times New Roman" w:cs="Times New Roman"/>
          <w:sz w:val="28"/>
          <w:szCs w:val="28"/>
        </w:rPr>
      </w:pPr>
      <w:r w:rsidRPr="00DE4018">
        <w:rPr>
          <w:rFonts w:ascii="Times New Roman" w:hAnsi="Times New Roman" w:cs="Times New Roman"/>
          <w:sz w:val="28"/>
          <w:szCs w:val="28"/>
        </w:rPr>
        <w:t xml:space="preserve">Топорнин   Б.Н. Европейское право: Учеб. –М., 1999. </w:t>
      </w:r>
    </w:p>
    <w:p w:rsidR="00DE4018" w:rsidRPr="00DE4018" w:rsidRDefault="00DE4018" w:rsidP="00DE4018">
      <w:pPr>
        <w:pStyle w:val="a7"/>
        <w:numPr>
          <w:ilvl w:val="0"/>
          <w:numId w:val="3"/>
        </w:numPr>
        <w:spacing w:after="0" w:line="240" w:lineRule="auto"/>
        <w:ind w:left="0" w:firstLine="360"/>
        <w:jc w:val="both"/>
        <w:rPr>
          <w:rFonts w:ascii="Times New Roman" w:hAnsi="Times New Roman" w:cs="Times New Roman"/>
          <w:sz w:val="28"/>
          <w:szCs w:val="28"/>
        </w:rPr>
      </w:pPr>
      <w:r w:rsidRPr="00DE4018">
        <w:rPr>
          <w:rFonts w:ascii="Times New Roman" w:hAnsi="Times New Roman" w:cs="Times New Roman"/>
          <w:sz w:val="28"/>
          <w:szCs w:val="28"/>
        </w:rPr>
        <w:t xml:space="preserve"> Гнатовський М. Концепція “європейського правового простору” в контексті проблем європейської інтеграції // Право україни. – 2003. – № 1. - С. 133-135.</w:t>
      </w:r>
    </w:p>
    <w:p w:rsidR="00DE4018" w:rsidRPr="00DE4018" w:rsidRDefault="00DE4018" w:rsidP="00DE4018">
      <w:pPr>
        <w:pStyle w:val="a7"/>
        <w:numPr>
          <w:ilvl w:val="0"/>
          <w:numId w:val="3"/>
        </w:numPr>
        <w:spacing w:after="0" w:line="240" w:lineRule="auto"/>
        <w:ind w:left="0" w:firstLine="360"/>
        <w:jc w:val="both"/>
        <w:rPr>
          <w:rFonts w:ascii="Times New Roman" w:hAnsi="Times New Roman" w:cs="Times New Roman"/>
          <w:sz w:val="28"/>
          <w:szCs w:val="28"/>
        </w:rPr>
      </w:pPr>
      <w:r w:rsidRPr="00DE4018">
        <w:rPr>
          <w:rFonts w:ascii="Times New Roman" w:hAnsi="Times New Roman" w:cs="Times New Roman"/>
          <w:sz w:val="28"/>
          <w:szCs w:val="28"/>
        </w:rPr>
        <w:t>Ковальова О. Зближення законодавства Європейського Союзу з правовими системами держав-кандидатів на вступ до ЄС // Право України. – 2003. - № 9. – С. 138-142.</w:t>
      </w:r>
    </w:p>
    <w:p w:rsidR="00DE4018" w:rsidRPr="00DE4018" w:rsidRDefault="00DE4018" w:rsidP="00DE4018">
      <w:pPr>
        <w:pStyle w:val="a7"/>
        <w:numPr>
          <w:ilvl w:val="0"/>
          <w:numId w:val="3"/>
        </w:numPr>
        <w:spacing w:after="0" w:line="240" w:lineRule="auto"/>
        <w:ind w:left="0" w:firstLine="360"/>
        <w:jc w:val="both"/>
        <w:rPr>
          <w:rFonts w:ascii="Times New Roman" w:hAnsi="Times New Roman" w:cs="Times New Roman"/>
          <w:sz w:val="28"/>
          <w:szCs w:val="28"/>
        </w:rPr>
      </w:pPr>
      <w:r w:rsidRPr="00DE4018">
        <w:rPr>
          <w:rFonts w:ascii="Times New Roman" w:hAnsi="Times New Roman" w:cs="Times New Roman"/>
          <w:sz w:val="28"/>
          <w:szCs w:val="28"/>
        </w:rPr>
        <w:t>Баймуратов М.О., Максименко С.В. Стратегія інтеграції України до Європейського Союзу: політико-правовий аналіз // Право України. – 2001. - № 10. – С.101.</w:t>
      </w:r>
    </w:p>
    <w:p w:rsidR="00DE4018" w:rsidRPr="00DE4018" w:rsidRDefault="00DE4018" w:rsidP="00DE4018">
      <w:pPr>
        <w:pStyle w:val="a7"/>
        <w:numPr>
          <w:ilvl w:val="0"/>
          <w:numId w:val="3"/>
        </w:numPr>
        <w:spacing w:after="0" w:line="240" w:lineRule="auto"/>
        <w:ind w:left="0" w:firstLine="360"/>
        <w:jc w:val="both"/>
        <w:rPr>
          <w:rFonts w:ascii="Times New Roman" w:hAnsi="Times New Roman" w:cs="Times New Roman"/>
          <w:sz w:val="28"/>
          <w:szCs w:val="28"/>
        </w:rPr>
      </w:pPr>
      <w:r w:rsidRPr="00DE4018">
        <w:rPr>
          <w:rFonts w:ascii="Times New Roman" w:hAnsi="Times New Roman" w:cs="Times New Roman"/>
          <w:sz w:val="28"/>
          <w:szCs w:val="28"/>
        </w:rPr>
        <w:t>Забігайло В. Шлях України до Європейського Союзу: виконання зобов’язань за Угодою про партнерство і співробітництво в сфері політико-правової реформи та гармонізації права. – К.: UEPLAC, 2000. – с.7.</w:t>
      </w:r>
    </w:p>
    <w:p w:rsidR="00DE4018" w:rsidRDefault="00DE4018" w:rsidP="00DE4018">
      <w:pPr>
        <w:rPr>
          <w:rFonts w:ascii="Times New Roman" w:eastAsia="Times New Roman" w:hAnsi="Times New Roman" w:cs="Times New Roman"/>
          <w:b/>
          <w:sz w:val="28"/>
          <w:szCs w:val="20"/>
          <w:lang w:eastAsia="ru-RU"/>
        </w:rPr>
      </w:pPr>
    </w:p>
    <w:p w:rsidR="00DE4018" w:rsidRPr="00DE4018" w:rsidRDefault="00DE4018" w:rsidP="00DE4018">
      <w:pPr>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Зміст лекції</w:t>
      </w:r>
    </w:p>
    <w:p w:rsidR="0004305F" w:rsidRPr="0004305F" w:rsidRDefault="0004305F" w:rsidP="0004305F">
      <w:pPr>
        <w:pStyle w:val="aa"/>
        <w:numPr>
          <w:ilvl w:val="0"/>
          <w:numId w:val="16"/>
        </w:numPr>
        <w:ind w:left="0" w:firstLine="851"/>
        <w:jc w:val="both"/>
        <w:rPr>
          <w:rStyle w:val="a9"/>
          <w:rFonts w:ascii="Times New Roman" w:hAnsi="Times New Roman" w:cs="Times New Roman"/>
          <w:b w:val="0"/>
          <w:bCs w:val="0"/>
          <w:sz w:val="28"/>
          <w:szCs w:val="28"/>
        </w:rPr>
      </w:pPr>
      <w:r w:rsidRPr="0004305F">
        <w:rPr>
          <w:rStyle w:val="a9"/>
          <w:rFonts w:ascii="Times New Roman" w:hAnsi="Times New Roman" w:cs="Times New Roman"/>
          <w:iCs/>
          <w:color w:val="000000"/>
          <w:sz w:val="28"/>
          <w:szCs w:val="28"/>
        </w:rPr>
        <w:t>Формування єдиного європейського повітряного простору</w:t>
      </w:r>
      <w:r>
        <w:rPr>
          <w:rStyle w:val="a9"/>
          <w:rFonts w:ascii="Times New Roman" w:hAnsi="Times New Roman" w:cs="Times New Roman"/>
          <w:i/>
          <w:iCs/>
          <w:color w:val="000000"/>
          <w:sz w:val="28"/>
          <w:szCs w:val="28"/>
        </w:rPr>
        <w:t>.</w:t>
      </w:r>
      <w:r w:rsidR="00D15BCE" w:rsidRPr="0091555C">
        <w:rPr>
          <w:rStyle w:val="a9"/>
          <w:rFonts w:ascii="Times New Roman" w:hAnsi="Times New Roman" w:cs="Times New Roman"/>
          <w:i/>
          <w:iCs/>
          <w:color w:val="000000"/>
          <w:sz w:val="28"/>
          <w:szCs w:val="28"/>
        </w:rPr>
        <w:t> </w:t>
      </w:r>
    </w:p>
    <w:p w:rsidR="00D15BCE" w:rsidRPr="0091555C" w:rsidRDefault="00D15BCE" w:rsidP="0004305F">
      <w:pPr>
        <w:pStyle w:val="aa"/>
        <w:ind w:firstLine="708"/>
        <w:jc w:val="both"/>
        <w:rPr>
          <w:rFonts w:ascii="Times New Roman" w:hAnsi="Times New Roman" w:cs="Times New Roman"/>
          <w:sz w:val="28"/>
          <w:szCs w:val="28"/>
        </w:rPr>
      </w:pPr>
      <w:r w:rsidRPr="0091555C">
        <w:rPr>
          <w:rFonts w:ascii="Times New Roman" w:hAnsi="Times New Roman" w:cs="Times New Roman"/>
          <w:sz w:val="28"/>
          <w:szCs w:val="28"/>
        </w:rPr>
        <w:t>Головною перевагою повітряного транспорту є те, що це найшвидший вид транспорту, однак він має незначну вантажопідйомність. Правовий режим повітряних перевезень в більшій частині визначається міжнародним правом. Ще Чиказька конвенція про міжнародної цивільної авіації 1944 р. встановила принципи співробітництва держав у галузі міжнародних польотів, перевезень вантажів і пасажирів. Конвенцією була також заснована Міжнародна організація цивільної авіації. Міжнародним правом керується і ЄС.</w:t>
      </w:r>
    </w:p>
    <w:p w:rsidR="00752E2F"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xml:space="preserve">Формування єдиного європейського повітряного простору було розпочато в 1978 р., коли Рада Європи виробив перелік пріоритетних напрямів у сфері повітряних повідомлень: лібералізація повітряних вантажних перевезень, реалізація свободи економічної діяльності на повітряному транспорті, визнання дипломів та інших офіційних свідоцтв про кваліфікації авіаційного персоналу, поліпшення регіонального повітряного сполучення, надання допомоги при авіаційних подіях, гармонізація технічних стандартів і норм льотної придатності, а також умов праці на повітряному транспорті і т. д. В додаток до цього в 1979 р. Комісія ЄС приймає (1-й) Меморандум про повітряне сполучення, в якому підкреслювалася важливість підвищення ринкових почав у організації ринку повітряних перевезень. </w:t>
      </w:r>
    </w:p>
    <w:p w:rsidR="00752E2F"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xml:space="preserve">Підсумки реалізації цього документа були підведені в 1984 р. в (2-м) Меморандумі "Успіхи на шляху втілення в життя загальної політики в галузі повітряного сполучення", у якому була викладена комплексна програма розвитку </w:t>
      </w:r>
      <w:r w:rsidRPr="0091555C">
        <w:rPr>
          <w:rFonts w:ascii="Times New Roman" w:hAnsi="Times New Roman" w:cs="Times New Roman"/>
          <w:sz w:val="28"/>
          <w:szCs w:val="28"/>
        </w:rPr>
        <w:lastRenderedPageBreak/>
        <w:t xml:space="preserve">ринку повітряного транспорту. У 1987 р. Комісія ЄС запропонувала заходи щодо її реалізації, у яких передбачалося підтримку справедливих умов конкуренції на ринку повітряних перевезень, упорядкування тарифів на транспортні слуги і введення раціональної системи завантаження повітряного транспорту. У 1990 р. </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Рада ЄС ухвалює другий пакет заходів для подальшої лібералізації повітряних перевезень, а в 1993 р. ним був схвалений третій пакет заходів у вигляді п'яти регламентів, які закріпили вільне ціноутворення на повітряні перевезення і повну лібералізацію повітряних перевезень авіапідприємствами держав - членів ЄС з 1 квітня 1997 р. У результаті виникло європейське "відкрите небо". Його правова база була доповнена актами про уніфікацію технічних вимог до обладнання і систем управління повітряним рухом, гармонізації порядку аварійного оповіщення та інформування про інші події, що впливають на безпеку польотів, правил уніфікації підстав відповідальності повітряних перевізників при авиапроисшествиях, а також заходами з обмеження критеріїв, що допускають картельні угоди і картельну практику на ринку повітряних перевезень.</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Новий етап у проведенні політики "відкритого неба" і лібералізації повітряних перевезень був покладений документом Європейської комісії від 1 грудня 1999 р. "Створення єдиного європейського повітряного простору". У ньому повітряний простір держав - членів ЄС оголошувалося як спільний ресурс, що підлягає найбільш раціональному використанню у спільних інтересах. Першочерговим завданням визнавалася реформа управління повітряним рухом, прийняття заходів по підвищенню безпеки польотів і забезпечення взаємоузгодженості діяльності військової та цивільної авіації. 30 листопада 2001 р. Європейська комісія вносить програму дій по створенню єдиного європейського повітряного простору, яка містить перелік концептуальних заходів, необхідних для його створення в Європі до 31 грудня 2004 р. Остаточне ж рішення всіх питань, пов'язаних з європейським "відкритим небом" намічалося вирішити до 2010 р. Так, були прийняті Директива ЄС № 255/2010 від 25 березня 2010 р. про встановлення загальних правил управління повітряним рухом та Директива ЄС № 1070/2009, що вносять зміни до положення Директиви ЄС № 549/2004, Директиви ЄС № 550/2004, Директиви ЄС № 551/2004 та Директиви ЄС № 552/2004 щодо поліпшення продуктивності і сталого розвитку європейської авіаційної системи.</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Основні зусилля ЄС спрямовані на реформування системи обслуговування повітряного руху в єдиному європейському повітряному просторі. У цих цілях введена єдина система сертифікації спеціалізованих організацій, які здійснюють інспекторські перевірки відповідних органів, встановлено єдині правила їх ліцензування, визначена структура та порядок використання повітряного простору в єдиному європейському повітряному просторі.</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У праві ЄС число джерел власне повітряного права незначно, так як у відповідності зі ст. 100 Договору про функціонування ЄС Союз не зобов'язаний видавати положення з питань повітряного транспорту.</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lastRenderedPageBreak/>
        <w:t>Принцип вільного надання послуг розкритий для повітряного права ЄС у Регламенті 2343/90М про доступ повітряних перевізників до регулярних лініях в межах Співтовариства та розподіл обсягів перевезень пасажирів між авіаперевізниками на регулярних лініях і державами-членами. Документ скасував виключні права окремих авіапідприємств на польоти в повітряному просторі ЄС.</w:t>
      </w:r>
    </w:p>
    <w:p w:rsidR="00D15BCE"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Правом Союзу встановлено пільговий режим злиття і картелів авіакомпаній.</w:t>
      </w:r>
    </w:p>
    <w:p w:rsidR="00752E2F" w:rsidRPr="00752E2F" w:rsidRDefault="00752E2F" w:rsidP="00D15BCE">
      <w:pPr>
        <w:pStyle w:val="aa"/>
        <w:ind w:firstLine="851"/>
        <w:jc w:val="both"/>
        <w:rPr>
          <w:rFonts w:ascii="Times New Roman" w:hAnsi="Times New Roman" w:cs="Times New Roman"/>
          <w:b/>
          <w:sz w:val="28"/>
          <w:szCs w:val="28"/>
        </w:rPr>
      </w:pPr>
    </w:p>
    <w:p w:rsidR="00752E2F" w:rsidRPr="00752E2F" w:rsidRDefault="00752E2F" w:rsidP="00752E2F">
      <w:pPr>
        <w:pStyle w:val="aa"/>
        <w:numPr>
          <w:ilvl w:val="0"/>
          <w:numId w:val="16"/>
        </w:numPr>
        <w:jc w:val="both"/>
        <w:rPr>
          <w:rFonts w:ascii="Times New Roman" w:hAnsi="Times New Roman" w:cs="Times New Roman"/>
          <w:b/>
          <w:sz w:val="28"/>
          <w:szCs w:val="28"/>
        </w:rPr>
      </w:pPr>
      <w:r w:rsidRPr="00752E2F">
        <w:rPr>
          <w:rFonts w:ascii="Times New Roman" w:hAnsi="Times New Roman" w:cs="Times New Roman"/>
          <w:b/>
          <w:sz w:val="28"/>
          <w:szCs w:val="28"/>
        </w:rPr>
        <w:t>Особливість повітряного права ЄС.</w:t>
      </w:r>
    </w:p>
    <w:p w:rsidR="00752E2F" w:rsidRPr="00752E2F" w:rsidRDefault="00752E2F" w:rsidP="00752E2F">
      <w:pPr>
        <w:pStyle w:val="aa"/>
        <w:ind w:left="1211"/>
        <w:jc w:val="both"/>
        <w:rPr>
          <w:rFonts w:ascii="Times New Roman" w:hAnsi="Times New Roman" w:cs="Times New Roman"/>
          <w:sz w:val="28"/>
          <w:szCs w:val="28"/>
        </w:rPr>
      </w:pP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Особливістю повітряного права ЄС є правила про відповідальність повітряних перевізників, встановлення цін на авіаквитки, шумових обмеження до повітряним суднам, посадкових смуг, уніфікації технічних вимог та адміністративних процедур.</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Величезне значення також на сьогоднішній день з числа міжнародно-правових актів має Конвенція для уніфікації деяких правил міжнародних повітряних перевезень 1999 р. (Монреальська конвенція). Учасниками Конвенції є США, Японія, Канада, країни ЄС та інші держави. З набранням чинності Конвенції в міжнародному повітряному праві стався якісний зсув у бік уніфікації правового регулювання відповідних відносин. Основними причинами прийняття Конвенції з'явилися надто низькі порівняно з сьогоднішніми суспільними та економічними стандартами межі відповідальності Варшавської системи, проблема тривалих розглядів, шкодять діловій репутації повітряного транспорту в цілому, збільшення різними державами меж відповідальності, необхідність консолідації всього наявного конвенційного механізму з питань повітряних перевезень, а також обліку напрямків сформованої міжнародної практики1.</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Монреальська конвенція являє собою єдиний правовий акт, заснований на принципі повного відшкодування шкоди, який увібрав в себе весь накопичений досвід правового регулювання міжнародних авіаперевезень. Керуючись цим принципом, Конвенція взагалі не передбачає яких-небудь меж відповідальності перевізника за смерть чи тілесні ушкодження пассажира1.</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В даний час в рамках Юридичного комітету Міжнародної організації цивільної авіації ведеться робота з підготовки тексту нової конвенції про відповідальність перед третіми особами на поверхні за шкоду, заподіяну іноземними повітряними суднами.</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Раніше безпосереднє правове регулювання авіаперевезень в рамках ЄС здійснювалося на підставі Регламенту Ради № 2407/92 про ліцензування транспортних авіакомпаній, Регламенту Ради № 2408/92 про доступ транспортних авіакомпаній Спільноти на авіалінії всередині Спільноти, Регламенту Ради № 2409/92, а також інших правових актів.</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У жовтні 2008 р. всі три регламенту втратили силу і замінені єдиним Регламентом Ради № 1008/2008 про загальні правила надання повітряних послуг у співтоваристві.</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lastRenderedPageBreak/>
        <w:t>Правове регулювання виконуваних авіапідприємствами ЄС перевезень за межі ЄС здійснюється на підставі двосторонніх угод членів ЄС з третіми державами, які містять традиційне умова про "переважне володіння та фактичний контроль". Разом з тим Комісією ЄС неодноразово робилися спроби, спрямовані на зміну змісту цієї умови. Зокрема, державам-членам пропонувалося включати в угоди положення про те, що зважаючи на їх правових зобов'язань як членів ЄС переважне володіння та ефективний контроль над призначуваними ними авіапідприємствами можуть здійснюватися будь-якою з держав - членів ЄС або його громадянами та юридичними лицами3. Позитивний результат все ж не був отриманий.</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Лише 5 листопада 2002 р. Суд ЄС визнав, що включення державами-членами в свої угоди про повітряне сполучення з третіми державами умови про переважне володіння та фактичний контроль" над призначуваними ними авіапідприємствами є порушенням ст. 43 Римського договору 1957 р. (ст. 49 Договору про функціонування ЄС).</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Таким чином, було визначено, що уніфіковані норми ЄС, що регламентують порядок здійснення авіаперевезень в межах Союзу, підлягають застосуванню і при здійсненні авіаперевезень по повітряних лініях, які виходять за межі ЄС, що свідчить про розширення сфери дії норм ЄС. Однак спроби поволі поширити нові правила ЄС на перевізників з третіх країн прямо порушують положення Чиказької конвенції 1944 р., що стосуються рівності можливостей при здійсненні міжнародних повітряних сполучень.</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Підсумки Всесвітньої авіатранспортної конференції ІКАО 2003 р. показали, що в цілому більшість країн готові "з розумінням ставитися до прагнення окремих держав перейти до практики розширеного транскордонного володіння авіаперевізниками та контролю за їх діяльністю та призначення авіаперевізників на основі критерію основного місця діяльності за умови, що будуть збережені чіткі межі компетенції та контролю у сфері регулювання безпеки польотів та авіаційної безпеки".</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Однак проблема взаємовідносин членів ЄС з третіми країнами не вичерпується лише положенням "про переважне володіння та фактичний контроль".</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Аж до 2004 р. в правовій системі ЄС були відсутні уніфіковані правові норми, які чітко визначають суб'єкта (або ЄС в цілому, або держави - члени ЄС), правомочного від імені ЄС укладати договори авіаперевезення з третіми країнами. Лише 29 квітня 2004 р. прийнятий Регламент № 847/2004 про переговори та імплементації угод між державами-членами та третіми країнами в галузі авіаційних послуг, покликаний вирішити проблему розмежування компетенції ЄС та держав-членів з питань укладення відповідних договорів.</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В цілях забезпечення більшої безпеки авіаперевезень ЄС прийняті такі правові акти: Регламент № 2320/2002, визначає загальні правила у сфері безпеки цивільної авіації; Регламент № 785/2004 від 21 квітня 2004 р. про вимоги страхування для повітряних перевізників та операторів повітряного флоту.</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lastRenderedPageBreak/>
        <w:t>З 5 квітня 2006 р. на території ЄС також діє Директива Європейського парламенту та Ради 2006/23/ЄС про ліцензії Співтовариства для контролерів авіаперевезень. Цей важливий для повітряного права ЄС документ передбачає механізм взаємного визнання ліцензій контролерів авіаперевезень і визначає загальні правила щодо діяльності стажистів контролерів авіаперевезень.</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Крім того, 30 березня 2008 р. набула чинності угода про лібералізацію авіаперевезень між США і ЄС (Угода першого етапу - </w:t>
      </w:r>
      <w:r w:rsidRPr="0091555C">
        <w:rPr>
          <w:rStyle w:val="a9"/>
          <w:rFonts w:ascii="Times New Roman" w:hAnsi="Times New Roman" w:cs="Times New Roman"/>
          <w:i/>
          <w:iCs/>
          <w:color w:val="000000"/>
          <w:sz w:val="28"/>
          <w:szCs w:val="28"/>
        </w:rPr>
        <w:t>англ. </w:t>
      </w:r>
      <w:r w:rsidRPr="0091555C">
        <w:rPr>
          <w:rFonts w:ascii="Times New Roman" w:hAnsi="Times New Roman" w:cs="Times New Roman"/>
          <w:sz w:val="28"/>
          <w:szCs w:val="28"/>
        </w:rPr>
        <w:t>First Stage Agreement). Угода передбачає, що кожна європейська авіакомпанія зможе здійснювати рейси в будь-яке місто США, але не між ними, з будь-якого аеропорту ЄС, а не тільки зі своєї країни, як сьогодні. Авіакомпанії США, в свою чергу, отримали право на польоти з США в будь-європейський аеропорт, а також між ними. У травні 2008 р. стартував другий етап переговорів. 25 травня 2010 р. він закінчився підписанням Угоди другого етапу (англ. The Second Stage Agreement). Угода другого етапу передбачив можливості для подальшого розвитку, у тому числі додаткових інвестицій і доступу до ринків, а також зміцнило основи нормативного співпраці в таких сферах, як забезпечення безпеки, в тому числі навколишнього середовища. Угода другого етапу було остаточно схвалено 24 червня 2010 р.</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Ці дві угоди являють собою важливі кроки на шляху нормалізації міжнародної авіаційної промисловості. Кінцевою метою ЄС є створення вільного трансатлантичного повітряного простору: єдиного ринку авіаперевезень між ЄС і США, вільного потоку інвестицій і взаємного доступу на внутрішні ринки.</w:t>
      </w:r>
    </w:p>
    <w:p w:rsidR="00D15BCE"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І, нарешті, слід згадати, що в рамках регіонального об'єднання в ЄС діють кодекси поведінки стосовно автоматизованих систем бронювання. Сьогодні все більше авіаційних квитків збувається за допомогою сучасних систем, які надають інформацію про розклад рейсів авіаперевізників, вільних місцях і тарифах, і з допомогою яких споживачі можуть здійснювати бронювання авіатранспортних послуг.</w:t>
      </w:r>
    </w:p>
    <w:p w:rsidR="00D15BCE" w:rsidRPr="0091555C" w:rsidRDefault="00D15BCE" w:rsidP="00D15BCE">
      <w:pPr>
        <w:pStyle w:val="aa"/>
        <w:ind w:firstLine="851"/>
        <w:jc w:val="both"/>
        <w:rPr>
          <w:rFonts w:ascii="Times New Roman" w:hAnsi="Times New Roman" w:cs="Times New Roman"/>
          <w:sz w:val="28"/>
          <w:szCs w:val="28"/>
        </w:rPr>
      </w:pPr>
    </w:p>
    <w:p w:rsidR="00D15BCE" w:rsidRPr="0091555C" w:rsidRDefault="00317594" w:rsidP="00317594">
      <w:pPr>
        <w:pStyle w:val="aa"/>
        <w:ind w:firstLine="851"/>
        <w:jc w:val="both"/>
        <w:rPr>
          <w:rFonts w:ascii="Times New Roman" w:hAnsi="Times New Roman" w:cs="Times New Roman"/>
          <w:sz w:val="28"/>
          <w:szCs w:val="28"/>
        </w:rPr>
      </w:pPr>
      <w:r>
        <w:rPr>
          <w:rStyle w:val="a9"/>
          <w:rFonts w:ascii="Times New Roman" w:hAnsi="Times New Roman" w:cs="Times New Roman"/>
          <w:iCs/>
          <w:color w:val="000000"/>
          <w:sz w:val="28"/>
          <w:szCs w:val="28"/>
        </w:rPr>
        <w:t>3.</w:t>
      </w:r>
      <w:r w:rsidR="00D15BCE" w:rsidRPr="00317594">
        <w:rPr>
          <w:rStyle w:val="a9"/>
          <w:rFonts w:ascii="Times New Roman" w:hAnsi="Times New Roman" w:cs="Times New Roman"/>
          <w:iCs/>
          <w:color w:val="000000"/>
          <w:sz w:val="28"/>
          <w:szCs w:val="28"/>
        </w:rPr>
        <w:t>Змішані перевезення.</w:t>
      </w:r>
      <w:r w:rsidR="00D15BCE" w:rsidRPr="0091555C">
        <w:rPr>
          <w:rStyle w:val="a9"/>
          <w:rFonts w:ascii="Times New Roman" w:hAnsi="Times New Roman" w:cs="Times New Roman"/>
          <w:i/>
          <w:iCs/>
          <w:color w:val="000000"/>
          <w:sz w:val="28"/>
          <w:szCs w:val="28"/>
        </w:rPr>
        <w:t> </w:t>
      </w:r>
      <w:r w:rsidR="00D15BCE" w:rsidRPr="0091555C">
        <w:rPr>
          <w:rFonts w:ascii="Times New Roman" w:hAnsi="Times New Roman" w:cs="Times New Roman"/>
          <w:sz w:val="28"/>
          <w:szCs w:val="28"/>
        </w:rPr>
        <w:t>Змішані (інтермодальні перевезення - використання по черзі кількох видів транспорту для переміщення вантажу. Змішані перевезення можна не тільки всередині ЄС, але і з іншими країнами.</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Розрізняють наступні види змішаних перевезень:</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1) контейнерні перевезення - перевезення автопоїздів, напівпричепів та знімних кузовів на спеціалізованих платформах прискореними маршрутними поїздами. Комбінований транспорт забезпечує поставку інтегрованої транспортної одиниці в системі з використанням залізничного транспорту на головному відтинку дороги, а автомобільного - тільки в процесі перевезення транспортної одиниці від постачальника до терміналу і з кінцевого терміналу до одержувача;</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2) національні оператори або їх дочірні фірми - такі організації виконують транспортні послуги всередині країни та міжнародні перевезення комплексно.</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У країнах ЄС не існує єдиної організаційної структури, за якої здійснювалися б операції комбінованим транспортом.</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lastRenderedPageBreak/>
        <w:t>Нормативним правовим актом, регулюючим змішані перевезення в державах - членах ЄС, є Директива 92/106/ЄЕС про встановлення загальних правил для деяких видів змішаної перевезення вантажів між державами-членами. Згідно з цим документом змішані перевезення - це перевезення вантажів між державами-членами дорогами, залізницею, внутрішнім водним шляхам і морях, а також і пересадочним польотом.</w:t>
      </w:r>
    </w:p>
    <w:p w:rsidR="00AC5275" w:rsidRPr="003010F9" w:rsidRDefault="00D15BCE" w:rsidP="003010F9">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В цілях здійснення контролю згідно з Директивою необхідно вказувати в транспортному документі станції, де здійснюється завантаження або розвантаження, з метою подальшої передачі інформації зацікавленим сторонам з допомогою об'єднаних інформаційних мереж, спільного використання високотехнологічного обладнання зв'язку і контролю за просуванням вантажів залізницею і автотранспортними компаніями.</w:t>
      </w:r>
    </w:p>
    <w:p w:rsidR="00AC5275" w:rsidRPr="00192429" w:rsidRDefault="00F62CC6" w:rsidP="00192429">
      <w:pPr>
        <w:ind w:firstLine="709"/>
        <w:jc w:val="both"/>
        <w:rPr>
          <w:rFonts w:ascii="Times New Roman" w:hAnsi="Times New Roman" w:cs="Times New Roman"/>
          <w:b/>
          <w:color w:val="000000"/>
          <w:sz w:val="28"/>
          <w:szCs w:val="28"/>
          <w:highlight w:val="cyan"/>
        </w:rPr>
      </w:pPr>
      <w:r w:rsidRPr="00192429">
        <w:rPr>
          <w:rFonts w:ascii="Times New Roman" w:eastAsia="Times New Roman" w:hAnsi="Times New Roman" w:cs="Times New Roman"/>
          <w:b/>
          <w:sz w:val="28"/>
          <w:szCs w:val="20"/>
          <w:lang w:eastAsia="ru-RU"/>
        </w:rPr>
        <w:t xml:space="preserve"> </w:t>
      </w:r>
    </w:p>
    <w:p w:rsidR="00AC5275" w:rsidRPr="00192429" w:rsidRDefault="00AC5275" w:rsidP="00AC5275">
      <w:pPr>
        <w:jc w:val="center"/>
        <w:rPr>
          <w:rFonts w:ascii="Times New Roman" w:eastAsia="Times New Roman" w:hAnsi="Times New Roman" w:cs="Times New Roman"/>
          <w:b/>
          <w:sz w:val="28"/>
          <w:szCs w:val="20"/>
          <w:lang w:eastAsia="ru-RU"/>
        </w:rPr>
      </w:pPr>
      <w:r w:rsidRPr="00192429">
        <w:rPr>
          <w:rFonts w:ascii="Times New Roman" w:eastAsia="Times New Roman" w:hAnsi="Times New Roman" w:cs="Times New Roman"/>
          <w:b/>
          <w:sz w:val="28"/>
          <w:szCs w:val="20"/>
          <w:lang w:eastAsia="ru-RU"/>
        </w:rPr>
        <w:t>ЛЕКЦІЯ № 4</w:t>
      </w:r>
    </w:p>
    <w:p w:rsidR="00AC5275" w:rsidRPr="00C1724B" w:rsidRDefault="00AC5275" w:rsidP="00192429">
      <w:pPr>
        <w:rPr>
          <w:rFonts w:ascii="Times New Roman" w:eastAsia="Times New Roman" w:hAnsi="Times New Roman" w:cs="Times New Roman"/>
          <w:b/>
          <w:sz w:val="28"/>
          <w:szCs w:val="20"/>
          <w:lang w:eastAsia="ru-RU"/>
        </w:rPr>
      </w:pPr>
      <w:r w:rsidRPr="00192429">
        <w:rPr>
          <w:rFonts w:ascii="Times New Roman" w:eastAsia="Times New Roman" w:hAnsi="Times New Roman" w:cs="Times New Roman"/>
          <w:b/>
          <w:sz w:val="28"/>
          <w:szCs w:val="20"/>
          <w:lang w:eastAsia="ru-RU"/>
        </w:rPr>
        <w:t>Тема лекції:</w:t>
      </w:r>
      <w:r w:rsidRPr="00192429">
        <w:rPr>
          <w:rFonts w:ascii="Times New Roman" w:hAnsi="Times New Roman" w:cs="Times New Roman"/>
          <w:b/>
          <w:sz w:val="28"/>
          <w:szCs w:val="28"/>
        </w:rPr>
        <w:t xml:space="preserve"> Організаційно-правові засади спільної діяльності держав-членів ЄС у галузі морського транспорту</w:t>
      </w:r>
    </w:p>
    <w:p w:rsidR="00AC5275" w:rsidRDefault="00AC5275" w:rsidP="00AC5275">
      <w:pPr>
        <w:jc w:val="center"/>
        <w:rPr>
          <w:rFonts w:ascii="Times New Roman" w:eastAsia="Times New Roman" w:hAnsi="Times New Roman" w:cs="Times New Roman"/>
          <w:b/>
          <w:sz w:val="28"/>
          <w:szCs w:val="20"/>
          <w:lang w:eastAsia="ru-RU"/>
        </w:rPr>
      </w:pPr>
      <w:r w:rsidRPr="00C1724B">
        <w:rPr>
          <w:rFonts w:ascii="Times New Roman" w:eastAsia="Times New Roman" w:hAnsi="Times New Roman" w:cs="Times New Roman"/>
          <w:b/>
          <w:sz w:val="28"/>
          <w:szCs w:val="20"/>
          <w:lang w:eastAsia="ru-RU"/>
        </w:rPr>
        <w:t>План лекції</w:t>
      </w:r>
    </w:p>
    <w:p w:rsidR="00192429" w:rsidRDefault="00192429" w:rsidP="00192429">
      <w:pPr>
        <w:pStyle w:val="aa"/>
        <w:ind w:left="851"/>
        <w:jc w:val="both"/>
        <w:rPr>
          <w:rStyle w:val="a9"/>
          <w:rFonts w:ascii="Times New Roman" w:hAnsi="Times New Roman" w:cs="Times New Roman"/>
          <w:b w:val="0"/>
          <w:bCs w:val="0"/>
          <w:sz w:val="28"/>
          <w:szCs w:val="28"/>
        </w:rPr>
      </w:pPr>
      <w:r>
        <w:rPr>
          <w:rStyle w:val="a9"/>
          <w:rFonts w:ascii="Times New Roman" w:hAnsi="Times New Roman" w:cs="Times New Roman"/>
          <w:iCs/>
          <w:color w:val="000000"/>
          <w:sz w:val="28"/>
          <w:szCs w:val="28"/>
        </w:rPr>
        <w:t>1.</w:t>
      </w:r>
      <w:r w:rsidRPr="00192429">
        <w:rPr>
          <w:rStyle w:val="a9"/>
          <w:rFonts w:ascii="Times New Roman" w:hAnsi="Times New Roman" w:cs="Times New Roman"/>
          <w:iCs/>
          <w:color w:val="000000"/>
          <w:sz w:val="28"/>
          <w:szCs w:val="28"/>
        </w:rPr>
        <w:t>Внутрішній водний транспорт. </w:t>
      </w:r>
    </w:p>
    <w:p w:rsidR="00192429" w:rsidRDefault="00192429" w:rsidP="00192429">
      <w:pPr>
        <w:pStyle w:val="aa"/>
        <w:ind w:left="851"/>
        <w:jc w:val="both"/>
        <w:rPr>
          <w:rStyle w:val="a9"/>
          <w:rFonts w:ascii="Times New Roman" w:hAnsi="Times New Roman" w:cs="Times New Roman"/>
          <w:iCs/>
          <w:color w:val="000000"/>
          <w:sz w:val="28"/>
          <w:szCs w:val="28"/>
        </w:rPr>
      </w:pPr>
      <w:r w:rsidRPr="00192429">
        <w:rPr>
          <w:rStyle w:val="a9"/>
          <w:rFonts w:ascii="Times New Roman" w:hAnsi="Times New Roman" w:cs="Times New Roman"/>
          <w:iCs/>
          <w:color w:val="000000"/>
          <w:sz w:val="28"/>
          <w:szCs w:val="28"/>
        </w:rPr>
        <w:t>2.Морська політика Європейського Союзу. </w:t>
      </w:r>
    </w:p>
    <w:p w:rsidR="00AC5275" w:rsidRPr="00192429" w:rsidRDefault="00192429" w:rsidP="00192429">
      <w:pPr>
        <w:pStyle w:val="aa"/>
        <w:ind w:left="851"/>
        <w:jc w:val="both"/>
        <w:rPr>
          <w:rFonts w:ascii="Times New Roman" w:hAnsi="Times New Roman" w:cs="Times New Roman"/>
          <w:sz w:val="28"/>
          <w:szCs w:val="28"/>
        </w:rPr>
      </w:pPr>
      <w:r w:rsidRPr="00192429">
        <w:rPr>
          <w:rFonts w:ascii="Times New Roman" w:hAnsi="Times New Roman" w:cs="Times New Roman"/>
          <w:b/>
          <w:sz w:val="28"/>
          <w:szCs w:val="28"/>
        </w:rPr>
        <w:t>3. Основні напрями Морської політики ЄС</w:t>
      </w:r>
    </w:p>
    <w:p w:rsidR="00AC5275" w:rsidRDefault="00AC5275" w:rsidP="00AC5275">
      <w:pPr>
        <w:jc w:val="center"/>
        <w:rPr>
          <w:rFonts w:ascii="Times New Roman" w:eastAsia="Times New Roman" w:hAnsi="Times New Roman" w:cs="Times New Roman"/>
          <w:b/>
          <w:sz w:val="28"/>
          <w:szCs w:val="20"/>
          <w:lang w:eastAsia="ru-RU"/>
        </w:rPr>
      </w:pPr>
    </w:p>
    <w:p w:rsidR="00AC5275" w:rsidRDefault="00AC5275" w:rsidP="00AC5275">
      <w:pP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Література:</w:t>
      </w:r>
    </w:p>
    <w:p w:rsidR="005355A5" w:rsidRPr="00192429" w:rsidRDefault="005355A5" w:rsidP="005355A5">
      <w:pPr>
        <w:pStyle w:val="a7"/>
        <w:numPr>
          <w:ilvl w:val="0"/>
          <w:numId w:val="4"/>
        </w:numPr>
        <w:spacing w:after="0" w:line="240" w:lineRule="auto"/>
        <w:jc w:val="both"/>
        <w:rPr>
          <w:rFonts w:ascii="Times New Roman" w:hAnsi="Times New Roman" w:cs="Times New Roman"/>
          <w:sz w:val="28"/>
          <w:szCs w:val="28"/>
        </w:rPr>
      </w:pPr>
      <w:r w:rsidRPr="00192429">
        <w:rPr>
          <w:rFonts w:ascii="Times New Roman" w:hAnsi="Times New Roman" w:cs="Times New Roman"/>
          <w:sz w:val="28"/>
          <w:szCs w:val="28"/>
        </w:rPr>
        <w:t>Европейское право: Учеб. для ВУЗов / Под общ. ред. д-ра юрид. наук, проф. Энгина Л.М. –М., 2008.</w:t>
      </w:r>
    </w:p>
    <w:p w:rsidR="005355A5" w:rsidRPr="00192429" w:rsidRDefault="005355A5" w:rsidP="005355A5">
      <w:pPr>
        <w:pStyle w:val="a7"/>
        <w:numPr>
          <w:ilvl w:val="0"/>
          <w:numId w:val="4"/>
        </w:numPr>
        <w:spacing w:after="0" w:line="240" w:lineRule="auto"/>
        <w:ind w:left="0" w:firstLine="360"/>
        <w:jc w:val="both"/>
        <w:rPr>
          <w:rFonts w:ascii="Times New Roman" w:hAnsi="Times New Roman" w:cs="Times New Roman"/>
          <w:sz w:val="28"/>
          <w:szCs w:val="28"/>
        </w:rPr>
      </w:pPr>
      <w:r w:rsidRPr="00192429">
        <w:rPr>
          <w:rFonts w:ascii="Times New Roman" w:hAnsi="Times New Roman" w:cs="Times New Roman"/>
          <w:sz w:val="28"/>
          <w:szCs w:val="28"/>
        </w:rPr>
        <w:t xml:space="preserve"> Кернз В. Вступ до права Європейського Союзу: Навч. посіб.: Пер. з англ. / Наук. ред. С.В.Ісакович, А.С.Метюшев. – К.: Знання, КОО, 2012. -381с. </w:t>
      </w:r>
    </w:p>
    <w:p w:rsidR="005355A5" w:rsidRPr="00192429" w:rsidRDefault="005355A5" w:rsidP="005355A5">
      <w:pPr>
        <w:pStyle w:val="a7"/>
        <w:numPr>
          <w:ilvl w:val="0"/>
          <w:numId w:val="4"/>
        </w:numPr>
        <w:spacing w:after="0" w:line="240" w:lineRule="auto"/>
        <w:ind w:left="0" w:firstLine="360"/>
        <w:jc w:val="both"/>
        <w:rPr>
          <w:rFonts w:ascii="Times New Roman" w:hAnsi="Times New Roman" w:cs="Times New Roman"/>
          <w:sz w:val="28"/>
          <w:szCs w:val="28"/>
        </w:rPr>
      </w:pPr>
      <w:r w:rsidRPr="00192429">
        <w:rPr>
          <w:rFonts w:ascii="Times New Roman" w:hAnsi="Times New Roman" w:cs="Times New Roman"/>
          <w:sz w:val="28"/>
          <w:szCs w:val="28"/>
        </w:rPr>
        <w:t>Татам А. Право Європейського Союзу: Підручник / Пер. з англ. – К., 1998. - 424с.</w:t>
      </w:r>
    </w:p>
    <w:p w:rsidR="005355A5" w:rsidRPr="00192429" w:rsidRDefault="005355A5" w:rsidP="005355A5">
      <w:pPr>
        <w:pStyle w:val="a7"/>
        <w:numPr>
          <w:ilvl w:val="0"/>
          <w:numId w:val="4"/>
        </w:numPr>
        <w:spacing w:after="0" w:line="240" w:lineRule="auto"/>
        <w:ind w:left="0" w:firstLine="360"/>
        <w:jc w:val="both"/>
        <w:rPr>
          <w:rFonts w:ascii="Times New Roman" w:hAnsi="Times New Roman" w:cs="Times New Roman"/>
          <w:sz w:val="28"/>
          <w:szCs w:val="28"/>
        </w:rPr>
      </w:pPr>
      <w:r w:rsidRPr="00192429">
        <w:rPr>
          <w:rFonts w:ascii="Times New Roman" w:hAnsi="Times New Roman" w:cs="Times New Roman"/>
          <w:sz w:val="28"/>
          <w:szCs w:val="28"/>
        </w:rPr>
        <w:t xml:space="preserve">Топорнин   Б.Н. Европейское право: Учеб. –М., 1999. </w:t>
      </w:r>
    </w:p>
    <w:p w:rsidR="005355A5" w:rsidRPr="00192429" w:rsidRDefault="005355A5" w:rsidP="005355A5">
      <w:pPr>
        <w:pStyle w:val="a7"/>
        <w:numPr>
          <w:ilvl w:val="0"/>
          <w:numId w:val="4"/>
        </w:numPr>
        <w:spacing w:after="0" w:line="240" w:lineRule="auto"/>
        <w:ind w:left="0" w:firstLine="360"/>
        <w:jc w:val="both"/>
        <w:rPr>
          <w:rFonts w:ascii="Times New Roman" w:hAnsi="Times New Roman" w:cs="Times New Roman"/>
          <w:sz w:val="28"/>
          <w:szCs w:val="28"/>
        </w:rPr>
      </w:pPr>
      <w:r w:rsidRPr="00192429">
        <w:rPr>
          <w:rFonts w:ascii="Times New Roman" w:hAnsi="Times New Roman" w:cs="Times New Roman"/>
          <w:sz w:val="28"/>
          <w:szCs w:val="28"/>
        </w:rPr>
        <w:t xml:space="preserve"> Гнатовський М. Концепція “європейського правового простору” в контексті проблем європейської інтеграції // Право україни. – 2003. – № 1. - С. 133-135.</w:t>
      </w:r>
    </w:p>
    <w:p w:rsidR="005355A5" w:rsidRPr="00192429" w:rsidRDefault="005355A5" w:rsidP="005355A5">
      <w:pPr>
        <w:pStyle w:val="a7"/>
        <w:numPr>
          <w:ilvl w:val="0"/>
          <w:numId w:val="4"/>
        </w:numPr>
        <w:spacing w:after="0" w:line="240" w:lineRule="auto"/>
        <w:ind w:left="0" w:firstLine="360"/>
        <w:jc w:val="both"/>
        <w:rPr>
          <w:rFonts w:ascii="Times New Roman" w:hAnsi="Times New Roman" w:cs="Times New Roman"/>
          <w:sz w:val="28"/>
          <w:szCs w:val="28"/>
        </w:rPr>
      </w:pPr>
      <w:r w:rsidRPr="00192429">
        <w:rPr>
          <w:rFonts w:ascii="Times New Roman" w:hAnsi="Times New Roman" w:cs="Times New Roman"/>
          <w:sz w:val="28"/>
          <w:szCs w:val="28"/>
        </w:rPr>
        <w:t>Ковальова О. Зближення законодавства Європейського Союзу з правовими системами держав-кандидатів на вступ до ЄС // Право України. – 2003. - № 9. – С. 138-142.</w:t>
      </w:r>
    </w:p>
    <w:p w:rsidR="005355A5" w:rsidRPr="00192429" w:rsidRDefault="005355A5" w:rsidP="005355A5">
      <w:pPr>
        <w:pStyle w:val="a7"/>
        <w:numPr>
          <w:ilvl w:val="0"/>
          <w:numId w:val="4"/>
        </w:numPr>
        <w:spacing w:after="0" w:line="240" w:lineRule="auto"/>
        <w:ind w:left="0" w:firstLine="360"/>
        <w:jc w:val="both"/>
        <w:rPr>
          <w:rFonts w:ascii="Times New Roman" w:hAnsi="Times New Roman" w:cs="Times New Roman"/>
          <w:sz w:val="28"/>
          <w:szCs w:val="28"/>
        </w:rPr>
      </w:pPr>
      <w:r w:rsidRPr="00192429">
        <w:rPr>
          <w:rFonts w:ascii="Times New Roman" w:hAnsi="Times New Roman" w:cs="Times New Roman"/>
          <w:sz w:val="28"/>
          <w:szCs w:val="28"/>
        </w:rPr>
        <w:t>Баймуратов М.О., Максименко С.В. Стратегія інтеграції України до Європейського Союзу: політико-правовий аналіз // Право України. – 2001. - № 10. – С.101.</w:t>
      </w:r>
    </w:p>
    <w:p w:rsidR="00AC5275" w:rsidRDefault="00AC5275" w:rsidP="00AC5275">
      <w:pPr>
        <w:rPr>
          <w:rFonts w:ascii="Times New Roman" w:eastAsia="Times New Roman" w:hAnsi="Times New Roman" w:cs="Times New Roman"/>
          <w:b/>
          <w:sz w:val="28"/>
          <w:szCs w:val="20"/>
          <w:lang w:eastAsia="ru-RU"/>
        </w:rPr>
      </w:pPr>
    </w:p>
    <w:p w:rsidR="00AC5275" w:rsidRPr="00C1724B" w:rsidRDefault="00AC5275" w:rsidP="00AC5275">
      <w:pPr>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lastRenderedPageBreak/>
        <w:t>Зміст лекції</w:t>
      </w:r>
    </w:p>
    <w:p w:rsidR="00192429" w:rsidRPr="00192429" w:rsidRDefault="00D15BCE" w:rsidP="00192429">
      <w:pPr>
        <w:pStyle w:val="aa"/>
        <w:numPr>
          <w:ilvl w:val="0"/>
          <w:numId w:val="17"/>
        </w:numPr>
        <w:ind w:left="0" w:firstLine="851"/>
        <w:jc w:val="both"/>
        <w:rPr>
          <w:rStyle w:val="a9"/>
          <w:rFonts w:ascii="Times New Roman" w:hAnsi="Times New Roman" w:cs="Times New Roman"/>
          <w:b w:val="0"/>
          <w:bCs w:val="0"/>
          <w:sz w:val="28"/>
          <w:szCs w:val="28"/>
        </w:rPr>
      </w:pPr>
      <w:r w:rsidRPr="00192429">
        <w:rPr>
          <w:rStyle w:val="a9"/>
          <w:rFonts w:ascii="Times New Roman" w:hAnsi="Times New Roman" w:cs="Times New Roman"/>
          <w:iCs/>
          <w:color w:val="000000"/>
          <w:sz w:val="28"/>
          <w:szCs w:val="28"/>
        </w:rPr>
        <w:t>Внутрішній водний транспорт. </w:t>
      </w:r>
    </w:p>
    <w:p w:rsidR="00D15BCE" w:rsidRPr="0091555C" w:rsidRDefault="00D15BCE" w:rsidP="00192429">
      <w:pPr>
        <w:pStyle w:val="aa"/>
        <w:ind w:firstLine="708"/>
        <w:jc w:val="both"/>
        <w:rPr>
          <w:rFonts w:ascii="Times New Roman" w:hAnsi="Times New Roman" w:cs="Times New Roman"/>
          <w:sz w:val="28"/>
          <w:szCs w:val="28"/>
        </w:rPr>
      </w:pPr>
      <w:r w:rsidRPr="0091555C">
        <w:rPr>
          <w:rFonts w:ascii="Times New Roman" w:hAnsi="Times New Roman" w:cs="Times New Roman"/>
          <w:sz w:val="28"/>
          <w:szCs w:val="28"/>
        </w:rPr>
        <w:t>Слід зазначити, що частка капіталовкладень у внутрішній водний транспорт, в усьому обсязі інвестицій у розвиток мережі ТЕ1Ч-Т, становить лише 1,5%, тоді як у залізні дороги - 66%. Таке співвідношення негативно впливає на бажане ефективне рівновага між різними видами транспорту. Тоді як, на думку фахівців, є заходи, що не потребують великих коштів, здатних виявитися дуже корисними для галузі внутрішнього судноплавства. Серед хороших прикладів таких заходів логічно називаються, в першу чергу, полегшення доступу до інформаційних і комунікаційних систем з борту суден. Створення річкових інформаційних служб також, безумовно, внесе значний внесок у підвищення конкурентоспроможності внутрішнього водного транспорту. Що в свою чергу буде сприяти підвищенню ефективності і безпеки транспортних операцій.</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Звичайно ж, річкові перевізники не здатні конкурувати з іншими видами транспорту, наприклад, і з-за відсутності належних інтермодальних логістичних рішень. Вони не можуть залучати нові види вантажів, такі як контейнери. Проте навіть і на цих ринках є позитивні приклади компаній ЄС, які успішно працюють у нових сегментах ринку. Крім того, внутрішній водний транспорт є одним з найбільш економічних видів транспорту. Так, з документів ЄС випливає, що на відстань 1 км при витраті 1 л пального можна перевезти таку кількість вантажів автомобільним транспортом - 50 т, залізницею - 97 т, річковим транспортом - 127 т.</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До незаперечних переваг внутрішнього водного транспорту слід віднести його високу безпеку в порівнянні з іншими видами транспорту, особливо в зіставленні з обсягом перевезених вантажів і часткою аварій. І, нарешті, це один з найбільш екологічно чистих видів транспорту.</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Саме тому сучасне внутрішнє судноплавство ЄС стабільно розвивається після значної стагнації і регулюється на сьогоднішній день наступними основними актами:</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o загальноєвропейське Угоду про найважливіших внутрішніх водних шляхах міжнародного значення - передбачає відкриття національних водних шляхів для міжнародного судноплавства;</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o Регламент 718/1999 про політику Співтовариства в області пропускної здатності флоту в цілях стимулювання внутрішнього водного транспорту - поширює свою дію на судна, що здійснюють перевезення вантажів по внутрішнім водним шляхам між двома пунктами у державах-членах. Документ вводить загальні для держав-членів вимоги до тоннажу суден, правила реєстрації суден, а також передбачає створення в державах-членах спеціальних фондів для фінансової підтримки розвитку внутрішнього водного транспорту;</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o Директива 96/75/ЄС про систему фрахтування та розцінок в Співтоваристві для національного і міжнародного внутрішнього водного транспорту - містить початку свободи Договору щодо ціни контрактів на надання послуг з перевезення внутрішнім водним транспортом;</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lastRenderedPageBreak/>
        <w:t>o Директива Європейського парламенту та Ради 2006/87/ЄС, що встановлює технічні вимоги для суден внутрішнього водного транспорту.</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Найбільш перспективним сегментом ринку в найближчі роки вважають перевезення річка-море. Ця система перевезень володіє великим потенціалом щодо контейнерних перевезень, так і в традиційних сегментах ринку перевезень масових вантажів. У результаті триваючої глобалізації торгівлі, структура транспортного ринку змінюється, інтермодальність стає нормою, і комбінація перевезень внутрішнім водним транспортом з іншими видами транспорту стає все більш і більш популярною. Одночасно з цим транспортні процеси стають більш тривалими і комплексними. Інтеграція морського транспорту в єдину логістичну ланцюг за допомогою включення річкових перевезень дозволяє перевізникам задовольняти зростаючий попит на свої послуги. Для подальшого розвитку внутрішнього водного транспорту і зміни існуючого розподілу перевезень між різними видами транспорту необхідний зацікавлений підхід з індивідуальним розглядом різних видів перевезень.</w:t>
      </w:r>
    </w:p>
    <w:p w:rsidR="00D15BCE"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У Роттердамської декларації заявлено, що створення сучасної, екологічною і ефективної мережі - обов'язкова умова для забезпечення подальшого розвитку внутрішнього водного транспорту та для поліпшення перевезень річка-море.</w:t>
      </w:r>
    </w:p>
    <w:p w:rsidR="00D15BCE" w:rsidRPr="0091555C" w:rsidRDefault="00D15BCE" w:rsidP="00D15BCE">
      <w:pPr>
        <w:pStyle w:val="aa"/>
        <w:ind w:firstLine="851"/>
        <w:jc w:val="both"/>
        <w:rPr>
          <w:rFonts w:ascii="Times New Roman" w:hAnsi="Times New Roman" w:cs="Times New Roman"/>
          <w:sz w:val="28"/>
          <w:szCs w:val="28"/>
        </w:rPr>
      </w:pPr>
    </w:p>
    <w:p w:rsidR="00192429" w:rsidRPr="00192429" w:rsidRDefault="00192429" w:rsidP="00D15BCE">
      <w:pPr>
        <w:pStyle w:val="aa"/>
        <w:ind w:firstLine="851"/>
        <w:jc w:val="both"/>
        <w:rPr>
          <w:rStyle w:val="a9"/>
          <w:rFonts w:ascii="Times New Roman" w:hAnsi="Times New Roman" w:cs="Times New Roman"/>
          <w:iCs/>
          <w:color w:val="000000"/>
          <w:sz w:val="28"/>
          <w:szCs w:val="28"/>
        </w:rPr>
      </w:pPr>
      <w:r w:rsidRPr="00192429">
        <w:rPr>
          <w:rStyle w:val="a9"/>
          <w:rFonts w:ascii="Times New Roman" w:hAnsi="Times New Roman" w:cs="Times New Roman"/>
          <w:iCs/>
          <w:color w:val="000000"/>
          <w:sz w:val="28"/>
          <w:szCs w:val="28"/>
        </w:rPr>
        <w:t>2.</w:t>
      </w:r>
      <w:r w:rsidR="00D15BCE" w:rsidRPr="00192429">
        <w:rPr>
          <w:rStyle w:val="a9"/>
          <w:rFonts w:ascii="Times New Roman" w:hAnsi="Times New Roman" w:cs="Times New Roman"/>
          <w:iCs/>
          <w:color w:val="000000"/>
          <w:sz w:val="28"/>
          <w:szCs w:val="28"/>
        </w:rPr>
        <w:t>Морська політика Європейського Союзу. </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Європейська комісія оприлюднила положення про розвиток морського транспорту ЄС аж до 2018 р. У документі наголошується, що 90% всього обсягу вантажоперевезень між Європою та іншими частинами світу припадає на морський транспорт. У загальному обсязі зовнішньоторговельного вантажообігу з третіми країнами, за даними Європейського інституту статистики, частка морських перевезень становить в імпорті близько 87%, в експорті - 66%, між країнами ЄС - близько 30%. Особливо важливе значення зовнішньоторговельні перевезення мають для Великобританії, Данії, Греції, Іспанії і Португалії. Таким чином, надання послуг за допомогою морського транспорту є необхідною умовою в справі успішної конкуренції між державами - членами ЄС та іншими країнами світу.</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Судноплавна політика ЄС характеризується наступними пріоритетними напрямками розвитку:</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захист вільного доступу на світовий фрахтовий ринок, що забезпечує необхідні переваги ЄС, залежить від морської торгівлі;</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заохочення справедливої конкуренції на світовому ринку транспортних послуг з метою гарантії в перспективі необхідного рівня підприємництва;</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посилення конкурентоспроможності флоту держав - членів ЄС, що покликана забезпечити гарантії його виживання;</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поліпшення умов найму і праці моряків;</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вдосконалення стандартів рятування на морі та захисту навколишнього середовища.</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lastRenderedPageBreak/>
        <w:t>Із загального контексту взаємодії і переплетення перерахованих напрямків морської політики не вибиваються і положення Директиви 98/18/ЄС, присвячені стандартам безпеки для пасажирських суден.</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Для реалізації поставлених морський політикою ЄС цілей і завдань розроблено ряд рекомендацій. У стратегічному документі "Морська політика до 2018 року" згадується про необхідність вироблення привабливою моделі для підвищення якості морських перевезень і надійності операторів в Європі, одночасно приділяючи увагу вирішенню фінансових проблем. Крім того, не останнє місце займає завдання підвищення привабливості морських професій і відкриття кар'єрних перспектив в морському секторі. Для цього необхідно підтримувати роботу морських організацій із захисту прав моряків. Крім глобальних проблем міжнародного співробітництва, з якими стикається морський сектор, розвиток технологій, систем безпеки і портів, особлива увага приділяється пошуку раціональних екологічних рішень на морському транспорті.</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Треба сказати, що в основу сучасної європейської морської стратегії і значною мірою в основу формується морської політики ЄС було покладено екологічний підхід, або як його ще називають у науковій літературі, екосистемного підходу. Таке положення справ є логічним з причини того, що політика ЄС щодо навколишнього середовища вже протягом кількох десятиліть є одним з пріоритетних напрямів.</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Не настільки віддалена передісторія морської політики ЄС така. Перші нормативні акти, що переслідують інтеграційні цілі з'явилися відносно недавно. Серед них незначна кількість Регламентів та Директив, присвячених питанням вільного надання послуг, застосування антимонопольного законодавства до підприємств морського транспорту, вільного пересування працівників морського транспорту, працевлаштування, зайнятості моряків, а також безпеки пасажирських суден та суден та портових споруд.</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Що стосується сучасного етапу розвитку морської політики ЄС, то слід згадати про те, що у період з 2006 по 2007 р. був відзначений серйозними дискусіями з приводу прийняття нового пакета законів для морського транспорту. Згоди між Європейським парламентом і Радою ЄС вдалося досягти далеко не з усіх питань. Так, всі держави, за винятком Мальти, висловилися за створення портової інспекції для контролю за державною приналежністю судів. У підсумку Рада ЄС погодився заснувати постійно діючий незалежний орган з розслідування аварій на морі, а також схвалив пропозиції, що стосуються правил відповідальності транспортних компаній перед пасажирами.</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30 червня 2007 р. завершився ініційований Європейською комісією річний процес обговорення державами - членами ЄС, усіма зацікавленими сторонами - приватними особами, неурядовими організаціями, національними та регіональними органами, науковими співтовариствами - майбутньої "цілісної" морської політики ЄС.</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xml:space="preserve">25-26 червня 2003 р. на міністерському нараді, що пройшла в Бремені, була прийнята спільна декларація Гельсінської комісії (ХЕЛКОМ) і Комісії по захисту </w:t>
      </w:r>
      <w:r w:rsidRPr="0091555C">
        <w:rPr>
          <w:rFonts w:ascii="Times New Roman" w:hAnsi="Times New Roman" w:cs="Times New Roman"/>
          <w:sz w:val="28"/>
          <w:szCs w:val="28"/>
        </w:rPr>
        <w:lastRenderedPageBreak/>
        <w:t>морського середовища Північно-Східної Атлантики (ОСПАР). В декларації була висловлена підтримка пропозицією Європейської комісії з вироблення Європейської морської стратегії, заснованої на екосистемному підході. В розділі декларації, названому "До Європейської морської стратегії", презюмировалась необхідність інтеграції в більш широких областях, ніж ті, якими займаються ХЕЛКОМ і ОСПАР.</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На думку розробників декларації, Європейська морська стратегія повинна охоплювати "всі моря навколо Європи", або "Європейські моря", включаючи Балтійське, Чорне, Середземне моря, північно-східну частину Атлантичного океану і навіть Північний Льодовитий океан, який, на думку специалистов2, географічно дуже складно віднести до "Європейських морів". Останнє може прямо вплинути на інтереси арктичних держав, і, в першу чергу, Росії.</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На офіційному сайті Європейської комісії розташовується інформація про те, що площа морських просторів, що перебувають під юрисдикцією держав - членів ЄС, більше, ніж їх земна територія. Включаючи віддалені регіони, зазначається далі, "морська територія ЄС (maritime territory of the European Union) найбільша у світі". На думку російських вчених, континентальний шельф прибережних держав не є державною територією, тому говорити про "морський території" ЄС як про "найбільшого в світі" юридично невірно.</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У декларації також особливо віталося широко підтриманий ЄС в цілому пропозицію про те, щоб великі райони Атлантики далеко від берегів цих держав повинні бути визнані "особливо вразливими морськими районами" (ОУМР). Таким чином, геополітична боротьба за Атлантику триває, але тепер політико-правовими методами.</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Віталося в декларації і пропозицію деяких західноєвропейських держав - членів ЄС оголосити Балтійське море ОУМР. В обґрунтування своєї позиції країни-ініціатори заявили, що таке призначення здійснене в якості частини процесу, в якому належним чином враховані всі технічні аспекти, зазначені в керівництві з таким призначенням, що міститься в Резолюції А. 927 (22), прийнятої на Асамблеї Міжнародної морської організації1.</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Таким чином, Балтика розглядається ЄС як своєрідний полігон для відпрацювання Європейської морської стратегії. Ґрунтуючись на завданнях охорони Балтійського моря, прибережні країни регіону під егідою ХЕЛКОМ розробляли Балтійський план дій на період до 2020 р., який повинен стати їхнім внеском у Європейську морську стратегію.</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На думку ж ряду країн, в тому числі і Росії, а також ряду спеціалізованих міжнародних організацій позначення Балтійського моря ОУМР суперечить Конвенції ООН з морського права 1982 р., конкретно її п. 6 ст. 211.</w:t>
      </w:r>
    </w:p>
    <w:p w:rsidR="00D15BCE"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xml:space="preserve">Безумовно, питання екології та її захисту покликані грати у сучасному світі дуже велику роль. Проте екологічні проблеми таять у собі небезпеку використання їх в цілях витіснення конкурентів у такій традиційно жорсткої області міжнародного бізнесу, до якої відноситься торговельне судноплавство. У цьому сенсі прямо стосувалося російські інтереси оголошення Балтійського моря "особливо вразливим </w:t>
      </w:r>
      <w:r w:rsidRPr="0091555C">
        <w:rPr>
          <w:rFonts w:ascii="Times New Roman" w:hAnsi="Times New Roman" w:cs="Times New Roman"/>
          <w:sz w:val="28"/>
          <w:szCs w:val="28"/>
        </w:rPr>
        <w:lastRenderedPageBreak/>
        <w:t>морським районом" - наочний тому приклад. Ситуація з Балтійським морем фактично повторює аналогічну ситуацію 1970-80-х роках, коли країни "Спільного ринку" прагнули перетворити Північне море в "озеро ЄЕС"1.</w:t>
      </w:r>
    </w:p>
    <w:p w:rsidR="00192429" w:rsidRDefault="00192429" w:rsidP="00D15BCE">
      <w:pPr>
        <w:pStyle w:val="aa"/>
        <w:ind w:firstLine="851"/>
        <w:jc w:val="both"/>
        <w:rPr>
          <w:rFonts w:ascii="Times New Roman" w:hAnsi="Times New Roman" w:cs="Times New Roman"/>
          <w:sz w:val="28"/>
          <w:szCs w:val="28"/>
        </w:rPr>
      </w:pPr>
    </w:p>
    <w:p w:rsidR="00192429" w:rsidRPr="00192429" w:rsidRDefault="00192429" w:rsidP="00D15BCE">
      <w:pPr>
        <w:pStyle w:val="aa"/>
        <w:ind w:firstLine="851"/>
        <w:jc w:val="both"/>
        <w:rPr>
          <w:rFonts w:ascii="Times New Roman" w:hAnsi="Times New Roman" w:cs="Times New Roman"/>
          <w:b/>
          <w:sz w:val="28"/>
          <w:szCs w:val="28"/>
        </w:rPr>
      </w:pPr>
      <w:r w:rsidRPr="00192429">
        <w:rPr>
          <w:rFonts w:ascii="Times New Roman" w:hAnsi="Times New Roman" w:cs="Times New Roman"/>
          <w:b/>
          <w:sz w:val="28"/>
          <w:szCs w:val="28"/>
        </w:rPr>
        <w:t>3. Основні напрями Морської політики ЄС</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Основні напрями Морської політики ЄС до 2018 р. визначено в "Стратегічних та рекомендованих цілях для морської транспортної політики ЄС". Основними "екологічними" цілями, визначеними в документі, є:</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скорочення викидів парникових газів від міжнародних перевезень;</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поліпшення екологічної якості морської води;</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управління судновими відходами та демонтаж судів;</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зниження оксидів сірки та оксидів азоту від судів;</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сприяння екологічному судноплавству.</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Цілям розвитку індустрії морського каботажу покликані служити наступні, передбачені документом заходи:</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створення "європейського простору морського транспорту без бар'єрів";</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розвиток транс'європейських транспортних мереж;</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створення привабливих умов для морського каботажу.</w:t>
      </w:r>
    </w:p>
    <w:p w:rsidR="00D15BCE"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Сьогодні ЄС стає одним з найважливіших учасників світової політики, цілком можливо виникнення ситуації, коли найбільш сильно політично і економічно просунуте інтеграційне об'єднання, яка купує вже в даний час все більшою мірою ознаки федерації, може реально ініціювати процес зміни існуючого в Світовому океані правопорядку, виробленого за останні півстоліття. Підтвердження тому лист на ім'я Генерального секретаря ООН від 20 грудня 2002 р. від заступника голови Європейської комісії. У цьому листі зазначається, що багато міжнародні норми, що регулюють морське судноплавство, а також норми міжнародного морського права у цілому в їх нинішньому стані являють собою баланс інтересів, що сформувалися кілька десятиліть, а то й століть тому. Було також зазначено, що Європейська комісія і держави - члени ЄС мають намір активно виступати в ООН, ІМО, інших міжнародних організаціях за перегляд норм міжнародного морського права.</w:t>
      </w:r>
    </w:p>
    <w:p w:rsidR="00AC5275" w:rsidRPr="00192429" w:rsidRDefault="00AC5275" w:rsidP="00192429">
      <w:pPr>
        <w:rPr>
          <w:rFonts w:ascii="Times New Roman" w:eastAsia="Times New Roman" w:hAnsi="Times New Roman" w:cs="Times New Roman"/>
          <w:b/>
          <w:sz w:val="28"/>
          <w:szCs w:val="20"/>
          <w:lang w:eastAsia="ru-RU"/>
        </w:rPr>
      </w:pPr>
    </w:p>
    <w:p w:rsidR="00AC5275" w:rsidRPr="00192429" w:rsidRDefault="00AC5275" w:rsidP="00AC5275">
      <w:pPr>
        <w:jc w:val="center"/>
        <w:rPr>
          <w:rFonts w:ascii="Times New Roman" w:eastAsia="Times New Roman" w:hAnsi="Times New Roman" w:cs="Times New Roman"/>
          <w:b/>
          <w:sz w:val="28"/>
          <w:szCs w:val="20"/>
          <w:lang w:eastAsia="ru-RU"/>
        </w:rPr>
      </w:pPr>
      <w:r w:rsidRPr="00192429">
        <w:rPr>
          <w:rFonts w:ascii="Times New Roman" w:eastAsia="Times New Roman" w:hAnsi="Times New Roman" w:cs="Times New Roman"/>
          <w:b/>
          <w:sz w:val="28"/>
          <w:szCs w:val="20"/>
          <w:lang w:eastAsia="ru-RU"/>
        </w:rPr>
        <w:t>ЛЕКЦІЯ № 5</w:t>
      </w:r>
    </w:p>
    <w:p w:rsidR="00AC5275" w:rsidRPr="00C1724B" w:rsidRDefault="00AC5275" w:rsidP="005C646C">
      <w:pPr>
        <w:rPr>
          <w:rFonts w:ascii="Times New Roman" w:eastAsia="Times New Roman" w:hAnsi="Times New Roman" w:cs="Times New Roman"/>
          <w:b/>
          <w:sz w:val="28"/>
          <w:szCs w:val="20"/>
          <w:lang w:eastAsia="ru-RU"/>
        </w:rPr>
      </w:pPr>
      <w:r w:rsidRPr="00192429">
        <w:rPr>
          <w:rFonts w:ascii="Times New Roman" w:eastAsia="Times New Roman" w:hAnsi="Times New Roman" w:cs="Times New Roman"/>
          <w:b/>
          <w:sz w:val="28"/>
          <w:szCs w:val="20"/>
          <w:lang w:eastAsia="ru-RU"/>
        </w:rPr>
        <w:t>Тема лекції:</w:t>
      </w:r>
      <w:r w:rsidRPr="00192429">
        <w:rPr>
          <w:rFonts w:ascii="Times New Roman" w:hAnsi="Times New Roman" w:cs="Times New Roman"/>
          <w:b/>
          <w:sz w:val="28"/>
          <w:szCs w:val="28"/>
        </w:rPr>
        <w:t xml:space="preserve"> Організаційно-правові засади спільної діяльності держав-членів ЄС у галузі залізничного транспорту</w:t>
      </w:r>
    </w:p>
    <w:p w:rsidR="00AC5275" w:rsidRDefault="00AC5275" w:rsidP="00AC5275">
      <w:pPr>
        <w:jc w:val="center"/>
        <w:rPr>
          <w:rFonts w:ascii="Times New Roman" w:eastAsia="Times New Roman" w:hAnsi="Times New Roman" w:cs="Times New Roman"/>
          <w:b/>
          <w:sz w:val="28"/>
          <w:szCs w:val="20"/>
          <w:lang w:eastAsia="ru-RU"/>
        </w:rPr>
      </w:pPr>
      <w:r w:rsidRPr="00C1724B">
        <w:rPr>
          <w:rFonts w:ascii="Times New Roman" w:eastAsia="Times New Roman" w:hAnsi="Times New Roman" w:cs="Times New Roman"/>
          <w:b/>
          <w:sz w:val="28"/>
          <w:szCs w:val="20"/>
          <w:lang w:eastAsia="ru-RU"/>
        </w:rPr>
        <w:t>План лекції</w:t>
      </w:r>
    </w:p>
    <w:p w:rsidR="005C646C" w:rsidRDefault="005C646C" w:rsidP="005C646C">
      <w:pPr>
        <w:rPr>
          <w:rStyle w:val="a9"/>
          <w:rFonts w:ascii="Times New Roman" w:hAnsi="Times New Roman" w:cs="Times New Roman"/>
          <w:i/>
          <w:iCs/>
          <w:color w:val="000000"/>
          <w:sz w:val="28"/>
          <w:szCs w:val="28"/>
        </w:rPr>
      </w:pPr>
      <w:r>
        <w:rPr>
          <w:rStyle w:val="a9"/>
          <w:rFonts w:ascii="Times New Roman" w:hAnsi="Times New Roman" w:cs="Times New Roman"/>
          <w:iCs/>
          <w:color w:val="000000"/>
          <w:sz w:val="28"/>
          <w:szCs w:val="28"/>
        </w:rPr>
        <w:t>1.Загальна характеристика з</w:t>
      </w:r>
      <w:r w:rsidRPr="00192429">
        <w:rPr>
          <w:rStyle w:val="a9"/>
          <w:rFonts w:ascii="Times New Roman" w:hAnsi="Times New Roman" w:cs="Times New Roman"/>
          <w:iCs/>
          <w:color w:val="000000"/>
          <w:sz w:val="28"/>
          <w:szCs w:val="28"/>
        </w:rPr>
        <w:t>алізничн</w:t>
      </w:r>
      <w:r>
        <w:rPr>
          <w:rStyle w:val="a9"/>
          <w:rFonts w:ascii="Times New Roman" w:hAnsi="Times New Roman" w:cs="Times New Roman"/>
          <w:iCs/>
          <w:color w:val="000000"/>
          <w:sz w:val="28"/>
          <w:szCs w:val="28"/>
        </w:rPr>
        <w:t>ого</w:t>
      </w:r>
      <w:r w:rsidRPr="00192429">
        <w:rPr>
          <w:rStyle w:val="a9"/>
          <w:rFonts w:ascii="Times New Roman" w:hAnsi="Times New Roman" w:cs="Times New Roman"/>
          <w:iCs/>
          <w:color w:val="000000"/>
          <w:sz w:val="28"/>
          <w:szCs w:val="28"/>
        </w:rPr>
        <w:t xml:space="preserve"> транспорт</w:t>
      </w:r>
      <w:r>
        <w:rPr>
          <w:rStyle w:val="a9"/>
          <w:rFonts w:ascii="Times New Roman" w:hAnsi="Times New Roman" w:cs="Times New Roman"/>
          <w:iCs/>
          <w:color w:val="000000"/>
          <w:sz w:val="28"/>
          <w:szCs w:val="28"/>
        </w:rPr>
        <w:t>у ЄС</w:t>
      </w:r>
      <w:r w:rsidRPr="00192429">
        <w:rPr>
          <w:rStyle w:val="a9"/>
          <w:rFonts w:ascii="Times New Roman" w:hAnsi="Times New Roman" w:cs="Times New Roman"/>
          <w:iCs/>
          <w:color w:val="000000"/>
          <w:sz w:val="28"/>
          <w:szCs w:val="28"/>
        </w:rPr>
        <w:t>.</w:t>
      </w:r>
      <w:r w:rsidRPr="00192429">
        <w:rPr>
          <w:rStyle w:val="a9"/>
          <w:rFonts w:ascii="Times New Roman" w:hAnsi="Times New Roman" w:cs="Times New Roman"/>
          <w:i/>
          <w:iCs/>
          <w:color w:val="000000"/>
          <w:sz w:val="28"/>
          <w:szCs w:val="28"/>
        </w:rPr>
        <w:t> </w:t>
      </w:r>
    </w:p>
    <w:p w:rsidR="005C646C" w:rsidRPr="005C646C" w:rsidRDefault="005C646C" w:rsidP="005C646C">
      <w:pPr>
        <w:rPr>
          <w:rFonts w:ascii="Times New Roman" w:hAnsi="Times New Roman" w:cs="Times New Roman"/>
          <w:b/>
          <w:bCs/>
          <w:i/>
          <w:iCs/>
          <w:color w:val="000000"/>
          <w:sz w:val="28"/>
          <w:szCs w:val="28"/>
        </w:rPr>
      </w:pPr>
      <w:r>
        <w:rPr>
          <w:rStyle w:val="a9"/>
          <w:rFonts w:ascii="Times New Roman" w:hAnsi="Times New Roman" w:cs="Times New Roman"/>
          <w:i/>
          <w:iCs/>
          <w:color w:val="000000"/>
          <w:sz w:val="28"/>
          <w:szCs w:val="28"/>
        </w:rPr>
        <w:t>2.</w:t>
      </w:r>
      <w:r w:rsidRPr="005C646C">
        <w:rPr>
          <w:rFonts w:ascii="Times New Roman" w:hAnsi="Times New Roman" w:cs="Times New Roman"/>
          <w:b/>
          <w:sz w:val="28"/>
          <w:szCs w:val="28"/>
        </w:rPr>
        <w:t>Основні напрямки політики у сфері залізничного транспорту.</w:t>
      </w:r>
    </w:p>
    <w:p w:rsidR="00AC5275" w:rsidRDefault="00AC5275" w:rsidP="007E7A33">
      <w:pPr>
        <w:rPr>
          <w:rFonts w:ascii="Times New Roman" w:eastAsia="Times New Roman" w:hAnsi="Times New Roman" w:cs="Times New Roman"/>
          <w:b/>
          <w:sz w:val="28"/>
          <w:szCs w:val="20"/>
          <w:lang w:eastAsia="ru-RU"/>
        </w:rPr>
      </w:pPr>
    </w:p>
    <w:p w:rsidR="00AC5275" w:rsidRDefault="00AC5275" w:rsidP="00AC5275">
      <w:pP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lastRenderedPageBreak/>
        <w:t>Література:</w:t>
      </w:r>
    </w:p>
    <w:p w:rsidR="005355A5" w:rsidRPr="007E7A33" w:rsidRDefault="005355A5" w:rsidP="005355A5">
      <w:pPr>
        <w:pStyle w:val="a7"/>
        <w:numPr>
          <w:ilvl w:val="0"/>
          <w:numId w:val="5"/>
        </w:numPr>
        <w:spacing w:after="0" w:line="240" w:lineRule="auto"/>
        <w:jc w:val="both"/>
        <w:rPr>
          <w:rFonts w:ascii="Times New Roman" w:hAnsi="Times New Roman" w:cs="Times New Roman"/>
          <w:sz w:val="28"/>
          <w:szCs w:val="28"/>
        </w:rPr>
      </w:pPr>
      <w:r w:rsidRPr="007E7A33">
        <w:rPr>
          <w:rFonts w:ascii="Times New Roman" w:hAnsi="Times New Roman" w:cs="Times New Roman"/>
          <w:sz w:val="28"/>
          <w:szCs w:val="28"/>
        </w:rPr>
        <w:t>Европейское право: Учеб. для ВУЗов / Под общ. ред. д-ра юрид. наук, проф. Энгина Л.М. –М., 2008.</w:t>
      </w:r>
    </w:p>
    <w:p w:rsidR="005355A5" w:rsidRPr="007E7A33" w:rsidRDefault="005355A5" w:rsidP="005355A5">
      <w:pPr>
        <w:pStyle w:val="a7"/>
        <w:numPr>
          <w:ilvl w:val="0"/>
          <w:numId w:val="5"/>
        </w:numPr>
        <w:spacing w:after="0" w:line="240" w:lineRule="auto"/>
        <w:ind w:left="0" w:firstLine="360"/>
        <w:jc w:val="both"/>
        <w:rPr>
          <w:rFonts w:ascii="Times New Roman" w:hAnsi="Times New Roman" w:cs="Times New Roman"/>
          <w:sz w:val="28"/>
          <w:szCs w:val="28"/>
        </w:rPr>
      </w:pPr>
      <w:r w:rsidRPr="007E7A33">
        <w:rPr>
          <w:rFonts w:ascii="Times New Roman" w:hAnsi="Times New Roman" w:cs="Times New Roman"/>
          <w:sz w:val="28"/>
          <w:szCs w:val="28"/>
        </w:rPr>
        <w:t xml:space="preserve"> Кернз В. Вступ до права Європейського Союзу: Навч. посіб.: Пер. з англ. / Наук. ред. С.В.Ісакович, А.С.Метюшев. – К.: Знання, КОО, 2012. -381с. </w:t>
      </w:r>
    </w:p>
    <w:p w:rsidR="005355A5" w:rsidRPr="007E7A33" w:rsidRDefault="005355A5" w:rsidP="005355A5">
      <w:pPr>
        <w:pStyle w:val="a7"/>
        <w:numPr>
          <w:ilvl w:val="0"/>
          <w:numId w:val="5"/>
        </w:numPr>
        <w:spacing w:after="0" w:line="240" w:lineRule="auto"/>
        <w:ind w:left="0" w:firstLine="360"/>
        <w:jc w:val="both"/>
        <w:rPr>
          <w:rFonts w:ascii="Times New Roman" w:hAnsi="Times New Roman" w:cs="Times New Roman"/>
          <w:sz w:val="28"/>
          <w:szCs w:val="28"/>
        </w:rPr>
      </w:pPr>
      <w:r w:rsidRPr="007E7A33">
        <w:rPr>
          <w:rFonts w:ascii="Times New Roman" w:hAnsi="Times New Roman" w:cs="Times New Roman"/>
          <w:sz w:val="28"/>
          <w:szCs w:val="28"/>
        </w:rPr>
        <w:t>Татам А. Право Європейського Союзу: Підручник / Пер. з англ. – К., 1998. - 424с.</w:t>
      </w:r>
    </w:p>
    <w:p w:rsidR="005355A5" w:rsidRPr="007E7A33" w:rsidRDefault="005355A5" w:rsidP="005355A5">
      <w:pPr>
        <w:pStyle w:val="a7"/>
        <w:numPr>
          <w:ilvl w:val="0"/>
          <w:numId w:val="5"/>
        </w:numPr>
        <w:spacing w:after="0" w:line="240" w:lineRule="auto"/>
        <w:ind w:left="0" w:firstLine="360"/>
        <w:jc w:val="both"/>
        <w:rPr>
          <w:rFonts w:ascii="Times New Roman" w:hAnsi="Times New Roman" w:cs="Times New Roman"/>
          <w:sz w:val="28"/>
          <w:szCs w:val="28"/>
        </w:rPr>
      </w:pPr>
      <w:r w:rsidRPr="007E7A33">
        <w:rPr>
          <w:rFonts w:ascii="Times New Roman" w:hAnsi="Times New Roman" w:cs="Times New Roman"/>
          <w:sz w:val="28"/>
          <w:szCs w:val="28"/>
        </w:rPr>
        <w:t xml:space="preserve">Топорнин   Б.Н. Европейское право: Учеб. –М., 1999. </w:t>
      </w:r>
    </w:p>
    <w:p w:rsidR="005355A5" w:rsidRPr="007E7A33" w:rsidRDefault="005355A5" w:rsidP="005355A5">
      <w:pPr>
        <w:pStyle w:val="a7"/>
        <w:numPr>
          <w:ilvl w:val="0"/>
          <w:numId w:val="5"/>
        </w:numPr>
        <w:spacing w:after="0" w:line="240" w:lineRule="auto"/>
        <w:ind w:left="0" w:firstLine="360"/>
        <w:jc w:val="both"/>
        <w:rPr>
          <w:rFonts w:ascii="Times New Roman" w:hAnsi="Times New Roman" w:cs="Times New Roman"/>
          <w:sz w:val="28"/>
          <w:szCs w:val="28"/>
        </w:rPr>
      </w:pPr>
      <w:r w:rsidRPr="007E7A33">
        <w:rPr>
          <w:rFonts w:ascii="Times New Roman" w:hAnsi="Times New Roman" w:cs="Times New Roman"/>
          <w:sz w:val="28"/>
          <w:szCs w:val="28"/>
        </w:rPr>
        <w:t xml:space="preserve"> Гнатовський М. Концепція “європейського правового простору” в контексті проблем європейської інтеграції // Право україни. – 2003. – № 1. - С. 133-135.</w:t>
      </w:r>
    </w:p>
    <w:p w:rsidR="005355A5" w:rsidRPr="007E7A33" w:rsidRDefault="005355A5" w:rsidP="005355A5">
      <w:pPr>
        <w:pStyle w:val="a7"/>
        <w:numPr>
          <w:ilvl w:val="0"/>
          <w:numId w:val="5"/>
        </w:numPr>
        <w:spacing w:after="0" w:line="240" w:lineRule="auto"/>
        <w:ind w:left="0" w:firstLine="360"/>
        <w:jc w:val="both"/>
        <w:rPr>
          <w:rFonts w:ascii="Times New Roman" w:hAnsi="Times New Roman" w:cs="Times New Roman"/>
          <w:sz w:val="28"/>
          <w:szCs w:val="28"/>
        </w:rPr>
      </w:pPr>
      <w:r w:rsidRPr="007E7A33">
        <w:rPr>
          <w:rFonts w:ascii="Times New Roman" w:hAnsi="Times New Roman" w:cs="Times New Roman"/>
          <w:sz w:val="28"/>
          <w:szCs w:val="28"/>
        </w:rPr>
        <w:t>Ковальова О. Зближення законодавства Європейського Союзу з правовими системами держав-кандидатів на вступ до ЄС // Право України. – 2003. - № 9. – С. 138-142.</w:t>
      </w:r>
    </w:p>
    <w:p w:rsidR="005355A5" w:rsidRPr="007E7A33" w:rsidRDefault="005355A5" w:rsidP="005355A5">
      <w:pPr>
        <w:pStyle w:val="a7"/>
        <w:numPr>
          <w:ilvl w:val="0"/>
          <w:numId w:val="5"/>
        </w:numPr>
        <w:spacing w:after="0" w:line="240" w:lineRule="auto"/>
        <w:ind w:left="0" w:firstLine="360"/>
        <w:jc w:val="both"/>
        <w:rPr>
          <w:rFonts w:ascii="Times New Roman" w:hAnsi="Times New Roman" w:cs="Times New Roman"/>
          <w:sz w:val="28"/>
          <w:szCs w:val="28"/>
        </w:rPr>
      </w:pPr>
      <w:r w:rsidRPr="007E7A33">
        <w:rPr>
          <w:rFonts w:ascii="Times New Roman" w:hAnsi="Times New Roman" w:cs="Times New Roman"/>
          <w:sz w:val="28"/>
          <w:szCs w:val="28"/>
        </w:rPr>
        <w:t>Баймуратов М.О., Максименко С.В. Стратегія інтеграції України до Європейського Союзу: політико-правовий аналіз // Право України. – 2001. - № 10. – С.101.</w:t>
      </w:r>
    </w:p>
    <w:p w:rsidR="005355A5" w:rsidRPr="007E7A33" w:rsidRDefault="005355A5" w:rsidP="005355A5">
      <w:pPr>
        <w:pStyle w:val="a7"/>
        <w:numPr>
          <w:ilvl w:val="0"/>
          <w:numId w:val="5"/>
        </w:numPr>
        <w:spacing w:after="0" w:line="240" w:lineRule="auto"/>
        <w:ind w:left="0" w:firstLine="360"/>
        <w:jc w:val="both"/>
        <w:rPr>
          <w:rFonts w:ascii="Times New Roman" w:hAnsi="Times New Roman" w:cs="Times New Roman"/>
          <w:sz w:val="28"/>
          <w:szCs w:val="28"/>
        </w:rPr>
      </w:pPr>
      <w:r w:rsidRPr="007E7A33">
        <w:rPr>
          <w:rFonts w:ascii="Times New Roman" w:hAnsi="Times New Roman" w:cs="Times New Roman"/>
          <w:sz w:val="28"/>
          <w:szCs w:val="28"/>
        </w:rPr>
        <w:t>Забігайло В. Шлях України до Європейського Союзу: виконання зобов’язань за Угодою про партнерство і співробітництво в сфері політико-правової реформи та гармонізації права. – К.: UEPLAC, 2000. – с.7.</w:t>
      </w:r>
    </w:p>
    <w:p w:rsidR="00AC5275" w:rsidRDefault="00AC5275" w:rsidP="00AC5275">
      <w:pPr>
        <w:rPr>
          <w:rFonts w:ascii="Times New Roman" w:eastAsia="Times New Roman" w:hAnsi="Times New Roman" w:cs="Times New Roman"/>
          <w:b/>
          <w:sz w:val="28"/>
          <w:szCs w:val="20"/>
          <w:lang w:eastAsia="ru-RU"/>
        </w:rPr>
      </w:pPr>
    </w:p>
    <w:p w:rsidR="00AC5275" w:rsidRPr="00C1724B" w:rsidRDefault="00AC5275" w:rsidP="00AC5275">
      <w:pPr>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Зміст лекції</w:t>
      </w:r>
    </w:p>
    <w:p w:rsidR="00D15BCE" w:rsidRPr="00192429" w:rsidRDefault="005C646C" w:rsidP="00192429">
      <w:pPr>
        <w:pStyle w:val="aa"/>
        <w:numPr>
          <w:ilvl w:val="0"/>
          <w:numId w:val="18"/>
        </w:numPr>
        <w:ind w:left="0" w:firstLine="851"/>
        <w:jc w:val="both"/>
        <w:rPr>
          <w:rFonts w:ascii="Times New Roman" w:hAnsi="Times New Roman" w:cs="Times New Roman"/>
          <w:sz w:val="28"/>
          <w:szCs w:val="28"/>
        </w:rPr>
      </w:pPr>
      <w:r>
        <w:rPr>
          <w:rStyle w:val="a9"/>
          <w:rFonts w:ascii="Times New Roman" w:hAnsi="Times New Roman" w:cs="Times New Roman"/>
          <w:iCs/>
          <w:color w:val="000000"/>
          <w:sz w:val="28"/>
          <w:szCs w:val="28"/>
        </w:rPr>
        <w:t>Загальна характеристика з</w:t>
      </w:r>
      <w:r w:rsidR="00D15BCE" w:rsidRPr="00192429">
        <w:rPr>
          <w:rStyle w:val="a9"/>
          <w:rFonts w:ascii="Times New Roman" w:hAnsi="Times New Roman" w:cs="Times New Roman"/>
          <w:iCs/>
          <w:color w:val="000000"/>
          <w:sz w:val="28"/>
          <w:szCs w:val="28"/>
        </w:rPr>
        <w:t>алізничн</w:t>
      </w:r>
      <w:r>
        <w:rPr>
          <w:rStyle w:val="a9"/>
          <w:rFonts w:ascii="Times New Roman" w:hAnsi="Times New Roman" w:cs="Times New Roman"/>
          <w:iCs/>
          <w:color w:val="000000"/>
          <w:sz w:val="28"/>
          <w:szCs w:val="28"/>
        </w:rPr>
        <w:t>ого</w:t>
      </w:r>
      <w:r w:rsidR="00D15BCE" w:rsidRPr="00192429">
        <w:rPr>
          <w:rStyle w:val="a9"/>
          <w:rFonts w:ascii="Times New Roman" w:hAnsi="Times New Roman" w:cs="Times New Roman"/>
          <w:iCs/>
          <w:color w:val="000000"/>
          <w:sz w:val="28"/>
          <w:szCs w:val="28"/>
        </w:rPr>
        <w:t xml:space="preserve"> транспорт</w:t>
      </w:r>
      <w:r>
        <w:rPr>
          <w:rStyle w:val="a9"/>
          <w:rFonts w:ascii="Times New Roman" w:hAnsi="Times New Roman" w:cs="Times New Roman"/>
          <w:iCs/>
          <w:color w:val="000000"/>
          <w:sz w:val="28"/>
          <w:szCs w:val="28"/>
        </w:rPr>
        <w:t>у ЄС</w:t>
      </w:r>
      <w:r w:rsidR="00D15BCE" w:rsidRPr="00192429">
        <w:rPr>
          <w:rStyle w:val="a9"/>
          <w:rFonts w:ascii="Times New Roman" w:hAnsi="Times New Roman" w:cs="Times New Roman"/>
          <w:iCs/>
          <w:color w:val="000000"/>
          <w:sz w:val="28"/>
          <w:szCs w:val="28"/>
        </w:rPr>
        <w:t>.</w:t>
      </w:r>
      <w:r w:rsidR="00D15BCE" w:rsidRPr="00192429">
        <w:rPr>
          <w:rStyle w:val="a9"/>
          <w:rFonts w:ascii="Times New Roman" w:hAnsi="Times New Roman" w:cs="Times New Roman"/>
          <w:i/>
          <w:iCs/>
          <w:color w:val="000000"/>
          <w:sz w:val="28"/>
          <w:szCs w:val="28"/>
        </w:rPr>
        <w:t> </w:t>
      </w:r>
      <w:r w:rsidR="00D15BCE" w:rsidRPr="00192429">
        <w:rPr>
          <w:rFonts w:ascii="Times New Roman" w:hAnsi="Times New Roman" w:cs="Times New Roman"/>
          <w:sz w:val="28"/>
          <w:szCs w:val="28"/>
        </w:rPr>
        <w:t>Поступово знижуються обсяги перевезень залізничним транспортом, тому в більшості країн ЄС цей сектор є збитковим і фінансується державою. З цим пов'язано і "останнє місце", що відводиться "європейського залізничного права" серед інших підгалузей спільної транспортної політики.</w:t>
      </w:r>
    </w:p>
    <w:p w:rsidR="00D15BCE" w:rsidRPr="00192429" w:rsidRDefault="00D15BCE" w:rsidP="00D15BCE">
      <w:pPr>
        <w:pStyle w:val="aa"/>
        <w:ind w:firstLine="851"/>
        <w:jc w:val="both"/>
        <w:rPr>
          <w:rFonts w:ascii="Times New Roman" w:hAnsi="Times New Roman" w:cs="Times New Roman"/>
          <w:sz w:val="28"/>
          <w:szCs w:val="28"/>
        </w:rPr>
      </w:pPr>
      <w:r w:rsidRPr="00192429">
        <w:rPr>
          <w:rFonts w:ascii="Times New Roman" w:hAnsi="Times New Roman" w:cs="Times New Roman"/>
          <w:sz w:val="28"/>
          <w:szCs w:val="28"/>
        </w:rPr>
        <w:t>В цілому регулювання діяльності у галузі залізничного транспорту в Європі багато в чому визначається не власне нормами "європейського права", а нормами традиційних міжнародних договорів, до яких належать: Бернські вантажні конвенції 1966 р. (КОТІФ) з Додатковою угодою 1966 р., і Угоду про міжнародному залізничному вантажному повідомленні 1998 р. (СМГС), з подальшим доповненням (МТТ).</w:t>
      </w:r>
    </w:p>
    <w:p w:rsidR="00D15BCE" w:rsidRPr="00192429" w:rsidRDefault="00D15BCE" w:rsidP="00D15BCE">
      <w:pPr>
        <w:pStyle w:val="aa"/>
        <w:ind w:firstLine="851"/>
        <w:jc w:val="both"/>
        <w:rPr>
          <w:rFonts w:ascii="Times New Roman" w:hAnsi="Times New Roman" w:cs="Times New Roman"/>
          <w:sz w:val="28"/>
          <w:szCs w:val="28"/>
        </w:rPr>
      </w:pPr>
      <w:r w:rsidRPr="00192429">
        <w:rPr>
          <w:rFonts w:ascii="Times New Roman" w:hAnsi="Times New Roman" w:cs="Times New Roman"/>
          <w:sz w:val="28"/>
          <w:szCs w:val="28"/>
        </w:rPr>
        <w:t>І все ж на ЄС покладається завдання забезпечити дія принципів Спільного ринку стосовно цього виду транспорту. ЄС уніфікує моделі управління для єдиної системи залізничного транспорту. Держави - члени</w:t>
      </w:r>
    </w:p>
    <w:p w:rsidR="00D15BCE" w:rsidRPr="005C646C" w:rsidRDefault="00D15BCE" w:rsidP="00D15BCE">
      <w:pPr>
        <w:pStyle w:val="aa"/>
        <w:ind w:firstLine="851"/>
        <w:jc w:val="both"/>
        <w:rPr>
          <w:rFonts w:ascii="Times New Roman" w:hAnsi="Times New Roman" w:cs="Times New Roman"/>
          <w:sz w:val="28"/>
          <w:szCs w:val="28"/>
        </w:rPr>
      </w:pPr>
      <w:r w:rsidRPr="005C646C">
        <w:rPr>
          <w:rFonts w:ascii="Times New Roman" w:hAnsi="Times New Roman" w:cs="Times New Roman"/>
          <w:sz w:val="28"/>
          <w:szCs w:val="28"/>
        </w:rPr>
        <w:t xml:space="preserve">ЄС самостійно розвивають мережі залізниць і забезпечують дотримання стандартів безпеки залізничними підприємствами. Згідно Директиви 91/440/ЄЕС під залізничним підприємством розуміється будь-яке державне або приватне підприємство, що має ліцензію, видану відповідно з чинним законодавством ЄС, </w:t>
      </w:r>
      <w:r w:rsidRPr="005C646C">
        <w:rPr>
          <w:rFonts w:ascii="Times New Roman" w:hAnsi="Times New Roman" w:cs="Times New Roman"/>
          <w:sz w:val="28"/>
          <w:szCs w:val="28"/>
        </w:rPr>
        <w:lastRenderedPageBreak/>
        <w:t>основна діяльність якого полягає у наданні послуг з транспортування товарів і (або) пасажирів по залізницях за умови, що підприємство є транспортним.</w:t>
      </w:r>
    </w:p>
    <w:p w:rsidR="00D15BCE" w:rsidRPr="005C646C" w:rsidRDefault="00D15BCE" w:rsidP="00D15BCE">
      <w:pPr>
        <w:pStyle w:val="aa"/>
        <w:ind w:firstLine="851"/>
        <w:jc w:val="both"/>
        <w:rPr>
          <w:rFonts w:ascii="Times New Roman" w:hAnsi="Times New Roman" w:cs="Times New Roman"/>
          <w:sz w:val="28"/>
          <w:szCs w:val="28"/>
        </w:rPr>
      </w:pPr>
      <w:r w:rsidRPr="005C646C">
        <w:rPr>
          <w:rFonts w:ascii="Times New Roman" w:hAnsi="Times New Roman" w:cs="Times New Roman"/>
          <w:sz w:val="28"/>
          <w:szCs w:val="28"/>
        </w:rPr>
        <w:t>Слід згадати ще одну важливу Директиви 2001/14/ЄС про розміщення потужностей залізничної інфраструктури, стягування плати за використання залізничної інфраструктури та сертифікації безпеки покликана забезпечувати гармонізацію загальних принципів оплати використання залізничних мереж, єдиного порядку експлуатації інфраструктури залізниць, а також систему контролю держав-членів цих установлень. Директива 2008/57/ЄС встановлює положення, що стосуються дозволу на введення в експлуатацію транспортних засобів залізниці. Вона являє собою переробку положень Директиви 2001/16/ЄС про експлуатаційної сумісності звичайних (традиційних) транс'європейських залізничних систем і Директиви 96/48/ЄС про експлуатаційної сумісності високошвидкісних транс'європейських залізничних систем. Раніше процедура дозволу на введення в експлуатацію регулювалася директиви 96/48/ЄС, що поширювалася на нові або поновлені частини залізничної системи та Директивою 2004/49/ЄС, що встановлювала основні вимоги і нові стандарти безпеки залізничних шляхів, що стосуються транспортних засобів, які вже перебувають в експлуатації.</w:t>
      </w:r>
    </w:p>
    <w:p w:rsidR="00D15BCE" w:rsidRDefault="00D15BCE" w:rsidP="00D15BCE">
      <w:pPr>
        <w:pStyle w:val="aa"/>
        <w:ind w:firstLine="851"/>
        <w:jc w:val="both"/>
        <w:rPr>
          <w:rFonts w:ascii="Times New Roman" w:hAnsi="Times New Roman" w:cs="Times New Roman"/>
          <w:sz w:val="28"/>
          <w:szCs w:val="28"/>
        </w:rPr>
      </w:pPr>
      <w:r w:rsidRPr="005C646C">
        <w:rPr>
          <w:rFonts w:ascii="Times New Roman" w:hAnsi="Times New Roman" w:cs="Times New Roman"/>
          <w:sz w:val="28"/>
          <w:szCs w:val="28"/>
        </w:rPr>
        <w:t>Крім перелічених основних директив, які формують гармонізований залізничний пакет, сферу залізничних транспортних перевезень регулює низку нормативних актів, покликаних уніфікувати питання скасування окремих тарифних і нетарифних ограничений1, створення єдиної структури субсидування та інвестиційної діяльності та установи єдиного залізничного агентства з метою встановлення контролю за конкурентним середовищем.</w:t>
      </w:r>
    </w:p>
    <w:p w:rsidR="007E7A33" w:rsidRPr="005C646C" w:rsidRDefault="007E7A33" w:rsidP="00D15BCE">
      <w:pPr>
        <w:pStyle w:val="aa"/>
        <w:ind w:firstLine="851"/>
        <w:jc w:val="both"/>
        <w:rPr>
          <w:rFonts w:ascii="Times New Roman" w:hAnsi="Times New Roman" w:cs="Times New Roman"/>
          <w:sz w:val="28"/>
          <w:szCs w:val="28"/>
        </w:rPr>
      </w:pPr>
    </w:p>
    <w:p w:rsidR="005C646C" w:rsidRPr="005C646C" w:rsidRDefault="005C646C" w:rsidP="005C646C">
      <w:pPr>
        <w:pStyle w:val="aa"/>
        <w:numPr>
          <w:ilvl w:val="0"/>
          <w:numId w:val="18"/>
        </w:numPr>
        <w:ind w:left="0" w:firstLine="851"/>
        <w:jc w:val="both"/>
        <w:rPr>
          <w:rFonts w:ascii="Times New Roman" w:hAnsi="Times New Roman" w:cs="Times New Roman"/>
          <w:b/>
          <w:sz w:val="28"/>
          <w:szCs w:val="28"/>
        </w:rPr>
      </w:pPr>
      <w:r w:rsidRPr="005C646C">
        <w:rPr>
          <w:rFonts w:ascii="Times New Roman" w:hAnsi="Times New Roman" w:cs="Times New Roman"/>
          <w:b/>
          <w:sz w:val="28"/>
          <w:szCs w:val="28"/>
        </w:rPr>
        <w:t>Основні напрямки політики у сфері залізничного транспорту.</w:t>
      </w:r>
    </w:p>
    <w:p w:rsidR="00D15BCE" w:rsidRPr="005C646C" w:rsidRDefault="00D15BCE" w:rsidP="005C646C">
      <w:pPr>
        <w:pStyle w:val="aa"/>
        <w:jc w:val="both"/>
        <w:rPr>
          <w:rFonts w:ascii="Times New Roman" w:hAnsi="Times New Roman" w:cs="Times New Roman"/>
          <w:sz w:val="28"/>
          <w:szCs w:val="28"/>
        </w:rPr>
      </w:pPr>
      <w:r w:rsidRPr="005C646C">
        <w:rPr>
          <w:rFonts w:ascii="Times New Roman" w:hAnsi="Times New Roman" w:cs="Times New Roman"/>
          <w:sz w:val="28"/>
          <w:szCs w:val="28"/>
        </w:rPr>
        <w:t>Фундаментальні тенденції розвитку в галузі правового регулювання залізничного сектора в ЄС полягають в усуненні всіх адміністративних, технічних, експлуатаційних, економічних і фізичних бар'єрів при перевезеннях в межах єдиної території ЄС. Це стає можливим завдяки цілеспрямованої і ефективної політики об'єднання та координації зусиль усіх держав - членів ЄС на основі гармонізації, стандартизації, системного планування і фінансування.</w:t>
      </w:r>
    </w:p>
    <w:p w:rsidR="00D15BCE" w:rsidRPr="005C646C" w:rsidRDefault="00D15BCE" w:rsidP="00D15BCE">
      <w:pPr>
        <w:pStyle w:val="aa"/>
        <w:ind w:firstLine="851"/>
        <w:jc w:val="both"/>
        <w:rPr>
          <w:rFonts w:ascii="Times New Roman" w:hAnsi="Times New Roman" w:cs="Times New Roman"/>
          <w:sz w:val="28"/>
          <w:szCs w:val="28"/>
        </w:rPr>
      </w:pPr>
      <w:r w:rsidRPr="005C646C">
        <w:rPr>
          <w:rFonts w:ascii="Times New Roman" w:hAnsi="Times New Roman" w:cs="Times New Roman"/>
          <w:sz w:val="28"/>
          <w:szCs w:val="28"/>
        </w:rPr>
        <w:t>Основними напрямами політики у сфері залізничного транспорту є: створення єдиної системи управління перевезеннями і поїздами, комунікаційних та інформаційних мереж, загальних методів експлуатації та технічного утримання рухомого складу, уніфікованих тарифів на перевезення і т. д.</w:t>
      </w:r>
    </w:p>
    <w:p w:rsidR="00D15BCE" w:rsidRPr="005C646C" w:rsidRDefault="00D15BCE" w:rsidP="00D15BCE">
      <w:pPr>
        <w:pStyle w:val="aa"/>
        <w:ind w:firstLine="851"/>
        <w:jc w:val="both"/>
        <w:rPr>
          <w:rFonts w:ascii="Times New Roman" w:hAnsi="Times New Roman" w:cs="Times New Roman"/>
          <w:sz w:val="28"/>
          <w:szCs w:val="28"/>
        </w:rPr>
      </w:pPr>
      <w:r w:rsidRPr="005C646C">
        <w:rPr>
          <w:rFonts w:ascii="Times New Roman" w:hAnsi="Times New Roman" w:cs="Times New Roman"/>
          <w:sz w:val="28"/>
          <w:szCs w:val="28"/>
        </w:rPr>
        <w:t>Згідно "Сценарієм залізничного бізнесу 2020 року" з часом ЄС зможе об'єднати 30 країн. Разом з тим очікується, що до 2020 р. обсяг пасажирських перевезень зросте на 40%, до рівня 7500 млрд пасажиро-км, і на 70% - у сфері вантажних перевезень, досягнувши 6000 млрд тонно-км. Таким чином, у 2020 р. обсяг залізничних перевезень в пасажирському повідомленні зросте майже в три рази, а у вантажному повідомленні - більш ніж у три рази, загальна протяжність залізничних ліній досягне до 2020 р. 15 тис. км.</w:t>
      </w:r>
    </w:p>
    <w:p w:rsidR="00D15BCE" w:rsidRPr="005C646C" w:rsidRDefault="00D15BCE" w:rsidP="00D15BCE">
      <w:pPr>
        <w:pStyle w:val="aa"/>
        <w:ind w:firstLine="851"/>
        <w:jc w:val="both"/>
        <w:rPr>
          <w:rFonts w:ascii="Times New Roman" w:hAnsi="Times New Roman" w:cs="Times New Roman"/>
          <w:sz w:val="28"/>
          <w:szCs w:val="28"/>
        </w:rPr>
      </w:pPr>
      <w:r w:rsidRPr="005C646C">
        <w:rPr>
          <w:rFonts w:ascii="Times New Roman" w:hAnsi="Times New Roman" w:cs="Times New Roman"/>
          <w:sz w:val="28"/>
          <w:szCs w:val="28"/>
        </w:rPr>
        <w:lastRenderedPageBreak/>
        <w:t>Зазначені результати можуть бути досягнуті при виконанні наступних умов: 1) перевезення вантажів та пасажирів при мінімальній тривалості; 2) збільшення пропускної спроможності залізниць; 3) залучення та ефективне використання інвестицій; 4) більш висока ступінь безпеки; 5) скорочення енергоспоживання; 6) інтероперабельність, сутність якої полягає у створенні та забезпеченні умов для експлуатаційної та технічної інтеграції різних залізничних систем ЄС. Першим кроком у цьому напрямку стала реєстрація і введення в дію в грудні 2002 р. Технічних умов для високошвидкісних поїздів, підготовлених АЕР1 (Європейською асоціацією з інтероперабельності залізниць); 7) розробка законів, стандартів, правил, спрямованих на створення єдиних документів, що регулюють діяльність залізниць.</w:t>
      </w:r>
    </w:p>
    <w:p w:rsidR="00D15BCE" w:rsidRDefault="00D15BCE" w:rsidP="00D15BCE">
      <w:pPr>
        <w:pStyle w:val="aa"/>
        <w:ind w:firstLine="851"/>
        <w:jc w:val="both"/>
        <w:rPr>
          <w:rFonts w:ascii="Times New Roman" w:hAnsi="Times New Roman" w:cs="Times New Roman"/>
          <w:sz w:val="28"/>
          <w:szCs w:val="28"/>
        </w:rPr>
      </w:pPr>
      <w:r w:rsidRPr="005C646C">
        <w:rPr>
          <w:rFonts w:ascii="Times New Roman" w:hAnsi="Times New Roman" w:cs="Times New Roman"/>
          <w:sz w:val="28"/>
          <w:szCs w:val="28"/>
        </w:rPr>
        <w:t>Таким чином, можна констатувати, що в області залізничного транспорту ЄС уніфікація права проявляється як за допомогою реалізації методу гармонізації, так і шляхом створення уніфікованих норм цивільного права.</w:t>
      </w:r>
    </w:p>
    <w:p w:rsidR="00AC5275" w:rsidRDefault="00AC5275" w:rsidP="00C1724B">
      <w:pPr>
        <w:jc w:val="center"/>
        <w:rPr>
          <w:rFonts w:ascii="Times New Roman" w:eastAsia="Times New Roman" w:hAnsi="Times New Roman" w:cs="Times New Roman"/>
          <w:b/>
          <w:sz w:val="28"/>
          <w:szCs w:val="20"/>
          <w:lang w:eastAsia="ru-RU"/>
        </w:rPr>
      </w:pPr>
    </w:p>
    <w:p w:rsidR="00AC5275" w:rsidRPr="007E7A33" w:rsidRDefault="00AC5275" w:rsidP="00AC5275">
      <w:pPr>
        <w:jc w:val="center"/>
        <w:rPr>
          <w:rFonts w:ascii="Times New Roman" w:eastAsia="Times New Roman" w:hAnsi="Times New Roman" w:cs="Times New Roman"/>
          <w:b/>
          <w:sz w:val="28"/>
          <w:szCs w:val="20"/>
          <w:lang w:eastAsia="ru-RU"/>
        </w:rPr>
      </w:pPr>
      <w:r w:rsidRPr="007E7A33">
        <w:rPr>
          <w:rFonts w:ascii="Times New Roman" w:eastAsia="Times New Roman" w:hAnsi="Times New Roman" w:cs="Times New Roman"/>
          <w:b/>
          <w:sz w:val="28"/>
          <w:szCs w:val="20"/>
          <w:lang w:eastAsia="ru-RU"/>
        </w:rPr>
        <w:t>ЛЕКЦІЯ № 6</w:t>
      </w:r>
    </w:p>
    <w:p w:rsidR="00AC5275" w:rsidRDefault="00AC5275" w:rsidP="00AC5275">
      <w:pPr>
        <w:rPr>
          <w:rFonts w:ascii="Times New Roman" w:eastAsia="Times New Roman" w:hAnsi="Times New Roman" w:cs="Times New Roman"/>
          <w:sz w:val="28"/>
          <w:szCs w:val="20"/>
          <w:lang w:eastAsia="ru-RU"/>
        </w:rPr>
      </w:pPr>
      <w:r w:rsidRPr="007E7A33">
        <w:rPr>
          <w:rFonts w:ascii="Times New Roman" w:eastAsia="Times New Roman" w:hAnsi="Times New Roman" w:cs="Times New Roman"/>
          <w:b/>
          <w:sz w:val="28"/>
          <w:szCs w:val="20"/>
          <w:lang w:eastAsia="ru-RU"/>
        </w:rPr>
        <w:t>Тема лекції:</w:t>
      </w:r>
      <w:r w:rsidRPr="007E7A33">
        <w:rPr>
          <w:rFonts w:ascii="Times New Roman" w:hAnsi="Times New Roman" w:cs="Times New Roman"/>
          <w:b/>
          <w:bCs/>
          <w:color w:val="000000"/>
          <w:sz w:val="28"/>
          <w:szCs w:val="28"/>
        </w:rPr>
        <w:t xml:space="preserve"> Організаційно-правові засади спільної діяльності держав-членів ЄС у</w:t>
      </w:r>
      <w:r w:rsidRPr="00AC5275">
        <w:rPr>
          <w:rFonts w:ascii="Times New Roman" w:hAnsi="Times New Roman" w:cs="Times New Roman"/>
          <w:b/>
          <w:bCs/>
          <w:color w:val="000000"/>
          <w:sz w:val="28"/>
          <w:szCs w:val="28"/>
        </w:rPr>
        <w:t xml:space="preserve"> галузі автомобільного  транспорту</w:t>
      </w:r>
    </w:p>
    <w:p w:rsidR="00AC5275" w:rsidRPr="00C1724B" w:rsidRDefault="00AC5275" w:rsidP="00AC5275">
      <w:pPr>
        <w:jc w:val="center"/>
        <w:rPr>
          <w:rFonts w:ascii="Times New Roman" w:eastAsia="Times New Roman" w:hAnsi="Times New Roman" w:cs="Times New Roman"/>
          <w:b/>
          <w:sz w:val="28"/>
          <w:szCs w:val="20"/>
          <w:lang w:eastAsia="ru-RU"/>
        </w:rPr>
      </w:pPr>
    </w:p>
    <w:p w:rsidR="007E7A33" w:rsidRPr="007E7A33" w:rsidRDefault="00AC5275" w:rsidP="007E7A33">
      <w:pPr>
        <w:jc w:val="center"/>
        <w:rPr>
          <w:rFonts w:ascii="Times New Roman" w:eastAsia="Times New Roman" w:hAnsi="Times New Roman" w:cs="Times New Roman"/>
          <w:b/>
          <w:sz w:val="28"/>
          <w:szCs w:val="20"/>
          <w:lang w:eastAsia="ru-RU"/>
        </w:rPr>
      </w:pPr>
      <w:r w:rsidRPr="00C1724B">
        <w:rPr>
          <w:rFonts w:ascii="Times New Roman" w:eastAsia="Times New Roman" w:hAnsi="Times New Roman" w:cs="Times New Roman"/>
          <w:b/>
          <w:sz w:val="28"/>
          <w:szCs w:val="20"/>
          <w:lang w:eastAsia="ru-RU"/>
        </w:rPr>
        <w:t>План лекції</w:t>
      </w:r>
    </w:p>
    <w:p w:rsidR="007E7A33" w:rsidRDefault="007E7A33" w:rsidP="007E7A33">
      <w:pPr>
        <w:pStyle w:val="aa"/>
        <w:numPr>
          <w:ilvl w:val="0"/>
          <w:numId w:val="19"/>
        </w:numPr>
        <w:ind w:left="0" w:firstLine="851"/>
        <w:jc w:val="both"/>
        <w:rPr>
          <w:rStyle w:val="a9"/>
          <w:rFonts w:ascii="Times New Roman" w:hAnsi="Times New Roman" w:cs="Times New Roman"/>
          <w:b w:val="0"/>
          <w:bCs w:val="0"/>
          <w:sz w:val="28"/>
          <w:szCs w:val="28"/>
        </w:rPr>
      </w:pPr>
      <w:r w:rsidRPr="007E7A33">
        <w:rPr>
          <w:rStyle w:val="a9"/>
          <w:rFonts w:ascii="Times New Roman" w:hAnsi="Times New Roman" w:cs="Times New Roman"/>
          <w:iCs/>
          <w:color w:val="000000"/>
          <w:sz w:val="28"/>
          <w:szCs w:val="28"/>
        </w:rPr>
        <w:t>Загальна характеристика автомобільного транспорту ЄС</w:t>
      </w:r>
      <w:r w:rsidRPr="007E7A33">
        <w:rPr>
          <w:rStyle w:val="a9"/>
          <w:rFonts w:ascii="Times New Roman" w:hAnsi="Times New Roman" w:cs="Times New Roman"/>
          <w:b w:val="0"/>
          <w:bCs w:val="0"/>
          <w:sz w:val="28"/>
          <w:szCs w:val="28"/>
        </w:rPr>
        <w:t>.</w:t>
      </w:r>
    </w:p>
    <w:p w:rsidR="00BF2719" w:rsidRPr="00BF2719" w:rsidRDefault="00BF2719" w:rsidP="00BF2719">
      <w:pPr>
        <w:pStyle w:val="aa"/>
        <w:numPr>
          <w:ilvl w:val="0"/>
          <w:numId w:val="19"/>
        </w:numPr>
        <w:jc w:val="both"/>
        <w:rPr>
          <w:rFonts w:ascii="Times New Roman" w:hAnsi="Times New Roman" w:cs="Times New Roman"/>
          <w:b/>
          <w:sz w:val="28"/>
          <w:szCs w:val="28"/>
        </w:rPr>
      </w:pPr>
      <w:r w:rsidRPr="00BF2719">
        <w:rPr>
          <w:rFonts w:ascii="Times New Roman" w:hAnsi="Times New Roman" w:cs="Times New Roman"/>
          <w:b/>
          <w:sz w:val="28"/>
          <w:szCs w:val="28"/>
        </w:rPr>
        <w:t>Заходи ЄС по вдосконаленню діяльності автомобільного транспорту.</w:t>
      </w:r>
    </w:p>
    <w:p w:rsidR="00AC5275" w:rsidRDefault="00AC5275" w:rsidP="00BF2719">
      <w:pPr>
        <w:rPr>
          <w:rFonts w:ascii="Times New Roman" w:eastAsia="Times New Roman" w:hAnsi="Times New Roman" w:cs="Times New Roman"/>
          <w:b/>
          <w:sz w:val="28"/>
          <w:szCs w:val="20"/>
          <w:lang w:eastAsia="ru-RU"/>
        </w:rPr>
      </w:pPr>
    </w:p>
    <w:p w:rsidR="00AC5275" w:rsidRDefault="00AC5275" w:rsidP="00AC5275">
      <w:pP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Література:</w:t>
      </w:r>
    </w:p>
    <w:p w:rsidR="005355A5" w:rsidRPr="007E7A33" w:rsidRDefault="005355A5" w:rsidP="005355A5">
      <w:pPr>
        <w:pStyle w:val="a7"/>
        <w:numPr>
          <w:ilvl w:val="0"/>
          <w:numId w:val="6"/>
        </w:numPr>
        <w:spacing w:after="0" w:line="240" w:lineRule="auto"/>
        <w:jc w:val="both"/>
        <w:rPr>
          <w:rFonts w:ascii="Times New Roman" w:hAnsi="Times New Roman" w:cs="Times New Roman"/>
          <w:sz w:val="28"/>
          <w:szCs w:val="28"/>
        </w:rPr>
      </w:pPr>
      <w:r w:rsidRPr="007E7A33">
        <w:rPr>
          <w:rFonts w:ascii="Times New Roman" w:hAnsi="Times New Roman" w:cs="Times New Roman"/>
          <w:sz w:val="28"/>
          <w:szCs w:val="28"/>
        </w:rPr>
        <w:t>Европейское право: Учеб. для ВУЗов / Под общ. ред. д-ра юрид. наук, проф. Энгина Л.М. –М., 2008.</w:t>
      </w:r>
    </w:p>
    <w:p w:rsidR="005355A5" w:rsidRPr="007E7A33" w:rsidRDefault="005355A5" w:rsidP="005355A5">
      <w:pPr>
        <w:pStyle w:val="a7"/>
        <w:numPr>
          <w:ilvl w:val="0"/>
          <w:numId w:val="6"/>
        </w:numPr>
        <w:spacing w:after="0" w:line="240" w:lineRule="auto"/>
        <w:ind w:left="0" w:firstLine="360"/>
        <w:jc w:val="both"/>
        <w:rPr>
          <w:rFonts w:ascii="Times New Roman" w:hAnsi="Times New Roman" w:cs="Times New Roman"/>
          <w:sz w:val="28"/>
          <w:szCs w:val="28"/>
        </w:rPr>
      </w:pPr>
      <w:r w:rsidRPr="007E7A33">
        <w:rPr>
          <w:rFonts w:ascii="Times New Roman" w:hAnsi="Times New Roman" w:cs="Times New Roman"/>
          <w:sz w:val="28"/>
          <w:szCs w:val="28"/>
        </w:rPr>
        <w:t xml:space="preserve"> Кернз В. Вступ до права Європейського Союзу: Навч. посіб.: Пер. з англ. / Наук. ред. С.В.Ісакович, А.С.Метюшев. – К.: Знання, КОО, 2012. -381с. </w:t>
      </w:r>
    </w:p>
    <w:p w:rsidR="005355A5" w:rsidRPr="007E7A33" w:rsidRDefault="005355A5" w:rsidP="005355A5">
      <w:pPr>
        <w:pStyle w:val="a7"/>
        <w:numPr>
          <w:ilvl w:val="0"/>
          <w:numId w:val="6"/>
        </w:numPr>
        <w:spacing w:after="0" w:line="240" w:lineRule="auto"/>
        <w:ind w:left="0" w:firstLine="360"/>
        <w:jc w:val="both"/>
        <w:rPr>
          <w:rFonts w:ascii="Times New Roman" w:hAnsi="Times New Roman" w:cs="Times New Roman"/>
          <w:sz w:val="28"/>
          <w:szCs w:val="28"/>
        </w:rPr>
      </w:pPr>
      <w:r w:rsidRPr="007E7A33">
        <w:rPr>
          <w:rFonts w:ascii="Times New Roman" w:hAnsi="Times New Roman" w:cs="Times New Roman"/>
          <w:sz w:val="28"/>
          <w:szCs w:val="28"/>
        </w:rPr>
        <w:t>Татам А. Право Європейського Союзу: Підручник / Пер. з англ. – К., 1998. - 424с.</w:t>
      </w:r>
    </w:p>
    <w:p w:rsidR="005355A5" w:rsidRPr="007E7A33" w:rsidRDefault="005355A5" w:rsidP="005355A5">
      <w:pPr>
        <w:pStyle w:val="a7"/>
        <w:numPr>
          <w:ilvl w:val="0"/>
          <w:numId w:val="6"/>
        </w:numPr>
        <w:spacing w:after="0" w:line="240" w:lineRule="auto"/>
        <w:ind w:left="0" w:firstLine="360"/>
        <w:jc w:val="both"/>
        <w:rPr>
          <w:rFonts w:ascii="Times New Roman" w:hAnsi="Times New Roman" w:cs="Times New Roman"/>
          <w:sz w:val="28"/>
          <w:szCs w:val="28"/>
        </w:rPr>
      </w:pPr>
      <w:r w:rsidRPr="007E7A33">
        <w:rPr>
          <w:rFonts w:ascii="Times New Roman" w:hAnsi="Times New Roman" w:cs="Times New Roman"/>
          <w:sz w:val="28"/>
          <w:szCs w:val="28"/>
        </w:rPr>
        <w:t xml:space="preserve">Топорнин   Б.Н. Европейское право: Учеб. –М., 1999. </w:t>
      </w:r>
    </w:p>
    <w:p w:rsidR="005355A5" w:rsidRPr="007E7A33" w:rsidRDefault="005355A5" w:rsidP="005355A5">
      <w:pPr>
        <w:pStyle w:val="a7"/>
        <w:numPr>
          <w:ilvl w:val="0"/>
          <w:numId w:val="6"/>
        </w:numPr>
        <w:spacing w:after="0" w:line="240" w:lineRule="auto"/>
        <w:ind w:left="0" w:firstLine="360"/>
        <w:jc w:val="both"/>
        <w:rPr>
          <w:rFonts w:ascii="Times New Roman" w:hAnsi="Times New Roman" w:cs="Times New Roman"/>
          <w:sz w:val="28"/>
          <w:szCs w:val="28"/>
        </w:rPr>
      </w:pPr>
      <w:r w:rsidRPr="007E7A33">
        <w:rPr>
          <w:rFonts w:ascii="Times New Roman" w:hAnsi="Times New Roman" w:cs="Times New Roman"/>
          <w:sz w:val="28"/>
          <w:szCs w:val="28"/>
        </w:rPr>
        <w:t xml:space="preserve"> Гнатовський М. Концепція “європейського правового простору” в контексті проблем європейської інтеграції // Право україни. – 2003. – № 1. - С. 133-135.</w:t>
      </w:r>
    </w:p>
    <w:p w:rsidR="005355A5" w:rsidRPr="007E7A33" w:rsidRDefault="005355A5" w:rsidP="005355A5">
      <w:pPr>
        <w:pStyle w:val="a7"/>
        <w:numPr>
          <w:ilvl w:val="0"/>
          <w:numId w:val="6"/>
        </w:numPr>
        <w:spacing w:after="0" w:line="240" w:lineRule="auto"/>
        <w:ind w:left="0" w:firstLine="360"/>
        <w:jc w:val="both"/>
        <w:rPr>
          <w:rFonts w:ascii="Times New Roman" w:hAnsi="Times New Roman" w:cs="Times New Roman"/>
          <w:sz w:val="28"/>
          <w:szCs w:val="28"/>
        </w:rPr>
      </w:pPr>
      <w:r w:rsidRPr="007E7A33">
        <w:rPr>
          <w:rFonts w:ascii="Times New Roman" w:hAnsi="Times New Roman" w:cs="Times New Roman"/>
          <w:sz w:val="28"/>
          <w:szCs w:val="28"/>
        </w:rPr>
        <w:t>Ковальова О. Зближення законодавства Європейського Союзу з правовими системами держав-кандидатів на вступ до ЄС // Право України. – 2003. - № 9. – С. 138-142.</w:t>
      </w:r>
    </w:p>
    <w:p w:rsidR="005355A5" w:rsidRPr="007E7A33" w:rsidRDefault="005355A5" w:rsidP="005355A5">
      <w:pPr>
        <w:pStyle w:val="a7"/>
        <w:numPr>
          <w:ilvl w:val="0"/>
          <w:numId w:val="6"/>
        </w:numPr>
        <w:spacing w:after="0" w:line="240" w:lineRule="auto"/>
        <w:ind w:left="0" w:firstLine="360"/>
        <w:jc w:val="both"/>
        <w:rPr>
          <w:rFonts w:ascii="Times New Roman" w:hAnsi="Times New Roman" w:cs="Times New Roman"/>
          <w:sz w:val="28"/>
          <w:szCs w:val="28"/>
        </w:rPr>
      </w:pPr>
      <w:r w:rsidRPr="007E7A33">
        <w:rPr>
          <w:rFonts w:ascii="Times New Roman" w:hAnsi="Times New Roman" w:cs="Times New Roman"/>
          <w:sz w:val="28"/>
          <w:szCs w:val="28"/>
        </w:rPr>
        <w:lastRenderedPageBreak/>
        <w:t>Баймуратов М.О., Максименко С.В. Стратегія інтеграції України до Європейського Союзу: політико-правовий аналіз // Право України. – 2001. - № 10. – С.101.</w:t>
      </w:r>
    </w:p>
    <w:p w:rsidR="005355A5" w:rsidRPr="007E7A33" w:rsidRDefault="005355A5" w:rsidP="005355A5">
      <w:pPr>
        <w:pStyle w:val="a7"/>
        <w:numPr>
          <w:ilvl w:val="0"/>
          <w:numId w:val="6"/>
        </w:numPr>
        <w:spacing w:after="0" w:line="240" w:lineRule="auto"/>
        <w:ind w:left="0" w:firstLine="360"/>
        <w:jc w:val="both"/>
        <w:rPr>
          <w:rFonts w:ascii="Times New Roman" w:hAnsi="Times New Roman" w:cs="Times New Roman"/>
          <w:sz w:val="28"/>
          <w:szCs w:val="28"/>
        </w:rPr>
      </w:pPr>
      <w:r w:rsidRPr="007E7A33">
        <w:rPr>
          <w:rFonts w:ascii="Times New Roman" w:hAnsi="Times New Roman" w:cs="Times New Roman"/>
          <w:sz w:val="28"/>
          <w:szCs w:val="28"/>
        </w:rPr>
        <w:t>Забігайло В. Шлях України до Європейського Союзу: виконання зобов’язань за Угодою про партнерство і співробітництво в сфері політико-правової реформи та гармонізації права. – К.: UEPLAC, 2000. – с.7.</w:t>
      </w:r>
    </w:p>
    <w:p w:rsidR="00AC5275" w:rsidRDefault="00AC5275" w:rsidP="00AC5275">
      <w:pPr>
        <w:rPr>
          <w:rFonts w:ascii="Times New Roman" w:eastAsia="Times New Roman" w:hAnsi="Times New Roman" w:cs="Times New Roman"/>
          <w:b/>
          <w:sz w:val="28"/>
          <w:szCs w:val="20"/>
          <w:lang w:eastAsia="ru-RU"/>
        </w:rPr>
      </w:pPr>
    </w:p>
    <w:p w:rsidR="00AC5275" w:rsidRPr="00C1724B" w:rsidRDefault="00AC5275" w:rsidP="00AC5275">
      <w:pPr>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Зміст лекції</w:t>
      </w:r>
    </w:p>
    <w:p w:rsidR="00AC5275" w:rsidRPr="007E7A33" w:rsidRDefault="00AC5275" w:rsidP="00C1724B">
      <w:pPr>
        <w:jc w:val="center"/>
        <w:rPr>
          <w:rFonts w:ascii="Times New Roman" w:eastAsia="Times New Roman" w:hAnsi="Times New Roman" w:cs="Times New Roman"/>
          <w:b/>
          <w:sz w:val="28"/>
          <w:szCs w:val="20"/>
          <w:lang w:eastAsia="ru-RU"/>
        </w:rPr>
      </w:pPr>
    </w:p>
    <w:p w:rsidR="007E7A33" w:rsidRPr="007E7A33" w:rsidRDefault="00BF2719" w:rsidP="00BF2719">
      <w:pPr>
        <w:pStyle w:val="aa"/>
        <w:ind w:left="851"/>
        <w:jc w:val="both"/>
        <w:rPr>
          <w:rStyle w:val="a9"/>
          <w:rFonts w:ascii="Times New Roman" w:hAnsi="Times New Roman" w:cs="Times New Roman"/>
          <w:b w:val="0"/>
          <w:bCs w:val="0"/>
          <w:sz w:val="28"/>
          <w:szCs w:val="28"/>
        </w:rPr>
      </w:pPr>
      <w:r>
        <w:rPr>
          <w:rStyle w:val="a9"/>
          <w:rFonts w:ascii="Times New Roman" w:hAnsi="Times New Roman" w:cs="Times New Roman"/>
          <w:iCs/>
          <w:color w:val="000000"/>
          <w:sz w:val="28"/>
          <w:szCs w:val="28"/>
        </w:rPr>
        <w:t>1.</w:t>
      </w:r>
      <w:r w:rsidR="007E7A33" w:rsidRPr="007E7A33">
        <w:rPr>
          <w:rStyle w:val="a9"/>
          <w:rFonts w:ascii="Times New Roman" w:hAnsi="Times New Roman" w:cs="Times New Roman"/>
          <w:iCs/>
          <w:color w:val="000000"/>
          <w:sz w:val="28"/>
          <w:szCs w:val="28"/>
        </w:rPr>
        <w:t>Загальна характеристика а</w:t>
      </w:r>
      <w:r w:rsidR="00D15BCE" w:rsidRPr="007E7A33">
        <w:rPr>
          <w:rStyle w:val="a9"/>
          <w:rFonts w:ascii="Times New Roman" w:hAnsi="Times New Roman" w:cs="Times New Roman"/>
          <w:iCs/>
          <w:color w:val="000000"/>
          <w:sz w:val="28"/>
          <w:szCs w:val="28"/>
        </w:rPr>
        <w:t>втомобільн</w:t>
      </w:r>
      <w:r w:rsidR="007E7A33" w:rsidRPr="007E7A33">
        <w:rPr>
          <w:rStyle w:val="a9"/>
          <w:rFonts w:ascii="Times New Roman" w:hAnsi="Times New Roman" w:cs="Times New Roman"/>
          <w:iCs/>
          <w:color w:val="000000"/>
          <w:sz w:val="28"/>
          <w:szCs w:val="28"/>
        </w:rPr>
        <w:t>ого</w:t>
      </w:r>
      <w:r w:rsidR="00D15BCE" w:rsidRPr="007E7A33">
        <w:rPr>
          <w:rStyle w:val="a9"/>
          <w:rFonts w:ascii="Times New Roman" w:hAnsi="Times New Roman" w:cs="Times New Roman"/>
          <w:iCs/>
          <w:color w:val="000000"/>
          <w:sz w:val="28"/>
          <w:szCs w:val="28"/>
        </w:rPr>
        <w:t xml:space="preserve"> транспорт</w:t>
      </w:r>
      <w:r w:rsidR="007E7A33" w:rsidRPr="007E7A33">
        <w:rPr>
          <w:rStyle w:val="a9"/>
          <w:rFonts w:ascii="Times New Roman" w:hAnsi="Times New Roman" w:cs="Times New Roman"/>
          <w:iCs/>
          <w:color w:val="000000"/>
          <w:sz w:val="28"/>
          <w:szCs w:val="28"/>
        </w:rPr>
        <w:t>у ЄС</w:t>
      </w:r>
      <w:r w:rsidR="007E7A33" w:rsidRPr="007E7A33">
        <w:rPr>
          <w:rStyle w:val="a9"/>
          <w:rFonts w:ascii="Times New Roman" w:hAnsi="Times New Roman" w:cs="Times New Roman"/>
          <w:b w:val="0"/>
          <w:bCs w:val="0"/>
          <w:sz w:val="28"/>
          <w:szCs w:val="28"/>
        </w:rPr>
        <w:t>.</w:t>
      </w:r>
    </w:p>
    <w:p w:rsidR="00D15BCE" w:rsidRDefault="00D15BCE" w:rsidP="007E7A33">
      <w:pPr>
        <w:pStyle w:val="aa"/>
        <w:ind w:firstLine="708"/>
        <w:jc w:val="both"/>
        <w:rPr>
          <w:rFonts w:ascii="Times New Roman" w:hAnsi="Times New Roman" w:cs="Times New Roman"/>
          <w:sz w:val="28"/>
          <w:szCs w:val="28"/>
        </w:rPr>
      </w:pPr>
      <w:r w:rsidRPr="007E7A33">
        <w:rPr>
          <w:rStyle w:val="a9"/>
          <w:rFonts w:ascii="Times New Roman" w:hAnsi="Times New Roman" w:cs="Times New Roman"/>
          <w:i/>
          <w:iCs/>
          <w:color w:val="000000"/>
          <w:sz w:val="28"/>
          <w:szCs w:val="28"/>
        </w:rPr>
        <w:t> </w:t>
      </w:r>
      <w:r w:rsidRPr="007E7A33">
        <w:rPr>
          <w:rFonts w:ascii="Times New Roman" w:hAnsi="Times New Roman" w:cs="Times New Roman"/>
          <w:sz w:val="28"/>
          <w:szCs w:val="28"/>
        </w:rPr>
        <w:t>Щільність автошляхів в країнах ЄС за даними Євростату невпинно зростає. Перевезення автомобільним транспортом становлять 1,6% від ВВП і майже 2% від кількості робочих місць в ЄС. Середній зростання вантажних автомобільних перевезень становить 3,4% в рік, це трохи вище ВВП. Середньою дистанцією перевезення є приблизно 100 км. Вантажні автомобілі складають 30% від загального дорожнього руху. 95% компаній, що здійснюють автомобільні перевезення, є микрокомпаниями з менш ніж 10 співробітниками. Сьогодні близько 40% товарів перевозиться в ЄС автошляхами. За останню декаду інтенсивний ріст автодоріг відзначався в тих країнах, які отримували значні транспортні дотації ЄС. Серед них Португалія та Ірландія (майже в 4 рази), Греція (в 2,6 рази), Фінляндія (в 2,1 рази)1. Зусилля ЄС спрямовані, по-перше, на інтенсивне підвищення оперативності економіки, а, по-друге, на усунення нагальної проблеми транспортної перевантаженості окремих територій і напрямків. Ця проблема вперше спантеличила Європи на початку 1990-х рр. Сьогодні постійним транспортним витратам схильні близько 10% дорожньої мережі держав ЄС. Зростання перевантаження і відповідне збільшення транспортних заторів є основною причиною зниження ефективності функціонування загальноєвропейської транспортної системи, її економічної конкурентоспроможності, зростання кількості та тяжкості ДТП. За оцінками західних експертів лише прямі втрати, пов'язані з перевантаженістю автомобільних доріг складають в даний час 0,5% ВВП.</w:t>
      </w:r>
    </w:p>
    <w:p w:rsidR="00BF2719" w:rsidRPr="00BF2719" w:rsidRDefault="00BF2719" w:rsidP="00BF2719">
      <w:pPr>
        <w:pStyle w:val="aa"/>
        <w:numPr>
          <w:ilvl w:val="0"/>
          <w:numId w:val="19"/>
        </w:numPr>
        <w:jc w:val="both"/>
        <w:rPr>
          <w:rFonts w:ascii="Times New Roman" w:hAnsi="Times New Roman" w:cs="Times New Roman"/>
          <w:b/>
          <w:sz w:val="28"/>
          <w:szCs w:val="28"/>
        </w:rPr>
      </w:pPr>
      <w:r w:rsidRPr="00BF2719">
        <w:rPr>
          <w:rFonts w:ascii="Times New Roman" w:hAnsi="Times New Roman" w:cs="Times New Roman"/>
          <w:b/>
          <w:sz w:val="28"/>
          <w:szCs w:val="28"/>
        </w:rPr>
        <w:t>Заходи ЄС по вдосконаленню діяльності автомобільного транспорту.</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ЄС у рамках спільної транспортної політики розробляє цілий ряд програм по вдосконаленню перевезень автотранспортом. Серед них:</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o Intelligent Transport Systems (ITS) - застосування інфокомунікаційних технологій (інтелектуальні світлофори, системи оповіщення і т. д.). Фінансується державами-членами;</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o Car-pooling - ініціативи по залученню вільних місць в автомобілях. Якщо в автомобілі більше однієї людини, то йому відкривається доступ на резервні (вільні) смуги в годину-пік;</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lastRenderedPageBreak/>
        <w:t>o Car sharing - система невеликих автомобільних парків, керованих єдиним оператором. Фізичні особи орендують машини з цього парку за потреби;</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o Parking manage ment - система оптимізації знаходження відповідного вільного місця для паркінгу з допомогою загальної електронної мережі;</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o Cycling &amp; walking - програма примусової заміни автомобілів на велосипеди і пішохідні зони пересування.</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Беручи до уваги те, що автомобільний транспорт забезпечує еластичність, маневреність перевезень, безпосередню доставку вантажів, особливі зручності для вантажів, ЄС прагне гармонізувати законодавство в автомобільному секторі.</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З 1989 р. усунутий контроль на кордонах держав-членів у сфері автомобільного та внутрішнього водного транспорту та скасовано процедуру проходження прикордонного контролю для автотранспортних засобів. Але незважаючи на те, що сьогодні можна говорити про вільне пересування в рамках єдиної території ЄС, не слід забувати, що ще недавно в державах - членах ЄС існувало, та й продовжує існувати безліч відмінностей у нормах, що регулюють використання автомобільного транспорту. Ці відмінності стосуються і максимальної швидкості руху, і максимальної ваги автомобілів, і дозволеного рівня алкоголю в крові водія і т. д. Саме тому сьогодні спостерігається інтенсифікація процесу гармонізації правового регулювання перевезень автомобільним транспортом у ЄС, яка здійснюється у сфері ліцензування, професійних вимог та трудових відносин, оподаткування, стандартів безопасности1.</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Так, до створення ЄС у державах-членах існували власні системи ліцензування, документи яких діяли лише на території відповідної країни. Це позбавляло перевізників права доступу на ринки інших держав. Після утворення ЄС почалася гармонізація порядку видачі лицензий2, була проведена відміна квот і обмежень для громадян і підприємств держав - членів ЄС. Перша ліцензія Спільноти дає власникові право здійснювати транскордонні перевезення на всій території ЄС. З 1 січня 1993 р. ліцензія Спільноти повністю замінила національні ліцензії, видані раніше державами іноземним перевізникам. Ліцензії тепер стали застосовуватися тільки для комерційного вантажного автотранспорту. А з 2006 р. згідно з наведеним Директивою Європейського парламенту та Ради 2006/94/ЄС вичерпним переліком, перевезення цілого ряду товарів не вимагає ліцензування, як з боку держав-членів, так і з боку ЄС.</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xml:space="preserve">Відповідно до Директиви 72/166/ЄЕС від 24 квітня 1972 р. про зближення законодавства держав-членів стосовно страхування цивільної відповідальності при використанні автотранспортних засобів і розвитку страхування, у цій області повинні бути укладені угоди між страховими агентствами, існуючими в кожній з держав-членів. Ці норми з часом не раз змінювались та доповнювались. Останні зміни були встановлені спочатку Директивою Європейського парламенту та Ради 2000/26/ЄС, а потім і Директиви 2005/29/ЄС. Зокрема, вони торкнулися правил цивільної відповідальності при використанні автотранспортних засобів. 26 жовтня 2009 р. Директиви 72/166/ЄЕС і 2000/26/ЄС втратили силу і замінені Директивою </w:t>
      </w:r>
      <w:r w:rsidRPr="0091555C">
        <w:rPr>
          <w:rFonts w:ascii="Times New Roman" w:hAnsi="Times New Roman" w:cs="Times New Roman"/>
          <w:sz w:val="28"/>
          <w:szCs w:val="28"/>
        </w:rPr>
        <w:lastRenderedPageBreak/>
        <w:t>2009/103/ЄС від 27 жовтня 2009 р. Що стосується Директиви 2005/29/ЄС, то вона все ще продовжує діяти.</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Згідно з цими угодами кожне з агентств гарантує відповідне страхове відшкодування збитків, завданих в результаті аварії транспортного засобу в країні, де зареєстровано підприємство перевізника.</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Директива 96/53/ЄС від 25 липня 1996 р. встановлює для деяких експортних транспортних засобів, що переміщаються по ЄС, максимально допустимі розміри при національних і міжнародних перевезеннях максимально допустима вага при міжнародних перевезеннях. Крім того, директива закріпила положення, відповідно з яким заборона на експлуатацію автотранспорту на своїй території не може встановлюватися державою-членом, якщо технічні характеристики автотранспорту відповідають нормам ЄС, але не відповідають вимогам національного законодавства.</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Існує ряд нормативних актів, які регулюють норми вихлопів газів, рівень створюваного шуму, стандарти скла заднього виду, види сертифікатів і систем гальм. Результати технічних перевірок автомобілів за цими стандартами мають визнаватися у всіх державах-членах. Так, на практиці принцип розширеної відповідальності виробників вперше був застосований у Директиві ЄС про автомобілі з вичерпаним терміном служби, у якій містяться положення про те, що автомобілі з вичерпаним терміном служби мають безкоштовно перевозити до місця їх утилізації. Найбільш інтенсивна полеміка до прийняття Директиви стосувалася питання утилізації автомобілів, вироблених раніше прийняття даного документа. Європейським парламентом, має репутацію "зеленого інституту", був внесений ряд пропозицій, які у випадку їх затвердження значно б обмежували відповідальність виробників у цьому питанні.</w:t>
      </w:r>
    </w:p>
    <w:p w:rsidR="00D15BCE"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У 2006 р. держави - члени ЄС досягли угоди про введення єдиних водійських прав на території ЄС (Директива Європейського парламенту та Ради ЄС 2006/126/ЄС). До 2032 р. в якості водійських прав будуть використовуватися тільки пластикові картки з мікрочіпом, на якому буде міститися необхідна інформація, їх почнуть видавати з 2012 р. Остаточно зміни у законодавстві, ініційовані Директивою 206/126/ЄС вступлять в силу в усіх країнах ЄС 19 січня 2013 р. Передбачається, що всі раніше видані водійські права втратять чинність не пізніше 2033 р.</w:t>
      </w:r>
    </w:p>
    <w:p w:rsidR="00D15BCE" w:rsidRPr="0091555C" w:rsidRDefault="00D15BCE" w:rsidP="00D15BCE">
      <w:pPr>
        <w:pStyle w:val="aa"/>
        <w:ind w:firstLine="851"/>
        <w:jc w:val="both"/>
        <w:rPr>
          <w:rFonts w:ascii="Times New Roman" w:hAnsi="Times New Roman" w:cs="Times New Roman"/>
          <w:sz w:val="28"/>
          <w:szCs w:val="28"/>
        </w:rPr>
      </w:pPr>
    </w:p>
    <w:p w:rsidR="00AC5275" w:rsidRDefault="00AC5275" w:rsidP="00C1724B">
      <w:pPr>
        <w:jc w:val="center"/>
        <w:rPr>
          <w:rFonts w:ascii="Times New Roman" w:eastAsia="Times New Roman" w:hAnsi="Times New Roman" w:cs="Times New Roman"/>
          <w:b/>
          <w:sz w:val="28"/>
          <w:szCs w:val="20"/>
          <w:lang w:eastAsia="ru-RU"/>
        </w:rPr>
      </w:pPr>
    </w:p>
    <w:p w:rsidR="00AC5275" w:rsidRPr="00C1724B" w:rsidRDefault="00AC5275" w:rsidP="00C1724B">
      <w:pPr>
        <w:jc w:val="center"/>
        <w:rPr>
          <w:rFonts w:ascii="Times New Roman" w:eastAsia="Times New Roman" w:hAnsi="Times New Roman" w:cs="Times New Roman"/>
          <w:b/>
          <w:sz w:val="28"/>
          <w:szCs w:val="20"/>
          <w:lang w:eastAsia="ru-RU"/>
        </w:rPr>
      </w:pPr>
    </w:p>
    <w:sectPr w:rsidR="00AC5275" w:rsidRPr="00C1724B" w:rsidSect="00192429">
      <w:headerReference w:type="default" r:id="rId7"/>
      <w:pgSz w:w="11906" w:h="16838"/>
      <w:pgMar w:top="1134" w:right="566"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28C" w:rsidRDefault="00BC728C" w:rsidP="00F44F08">
      <w:pPr>
        <w:spacing w:after="0" w:line="240" w:lineRule="auto"/>
      </w:pPr>
      <w:r>
        <w:separator/>
      </w:r>
    </w:p>
  </w:endnote>
  <w:endnote w:type="continuationSeparator" w:id="0">
    <w:p w:rsidR="00BC728C" w:rsidRDefault="00BC728C" w:rsidP="00F44F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28C" w:rsidRDefault="00BC728C" w:rsidP="00F44F08">
      <w:pPr>
        <w:spacing w:after="0" w:line="240" w:lineRule="auto"/>
      </w:pPr>
      <w:r>
        <w:separator/>
      </w:r>
    </w:p>
  </w:footnote>
  <w:footnote w:type="continuationSeparator" w:id="0">
    <w:p w:rsidR="00BC728C" w:rsidRDefault="00BC728C" w:rsidP="00F44F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80"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856"/>
      <w:gridCol w:w="3969"/>
      <w:gridCol w:w="1276"/>
      <w:gridCol w:w="2279"/>
    </w:tblGrid>
    <w:tr w:rsidR="00F44F08" w:rsidTr="006B7371">
      <w:trPr>
        <w:cantSplit/>
        <w:trHeight w:val="624"/>
        <w:jc w:val="center"/>
      </w:trPr>
      <w:tc>
        <w:tcPr>
          <w:tcW w:w="1856" w:type="dxa"/>
          <w:tcBorders>
            <w:top w:val="single" w:sz="4" w:space="0" w:color="auto"/>
            <w:left w:val="single" w:sz="4" w:space="0" w:color="auto"/>
            <w:bottom w:val="single" w:sz="4" w:space="0" w:color="auto"/>
            <w:right w:val="single" w:sz="4" w:space="0" w:color="auto"/>
          </w:tcBorders>
          <w:hideMark/>
        </w:tcPr>
        <w:p w:rsidR="00F44F08" w:rsidRDefault="00F44F08" w:rsidP="006B7371">
          <w:pPr>
            <w:pStyle w:val="a3"/>
            <w:jc w:val="center"/>
            <w:rPr>
              <w:sz w:val="18"/>
              <w:szCs w:val="18"/>
            </w:rPr>
          </w:pPr>
          <w:r>
            <w:rPr>
              <w:rFonts w:ascii="Times New Roman" w:hAnsi="Times New Roman"/>
              <w:noProof/>
              <w:sz w:val="24"/>
              <w:szCs w:val="24"/>
              <w:lang w:val="ru-RU" w:eastAsia="ru-RU"/>
            </w:rPr>
            <w:drawing>
              <wp:anchor distT="0" distB="0" distL="114300" distR="114300" simplePos="0" relativeHeight="251660288" behindDoc="1" locked="0" layoutInCell="1" allowOverlap="1">
                <wp:simplePos x="0" y="0"/>
                <wp:positionH relativeFrom="column">
                  <wp:posOffset>233045</wp:posOffset>
                </wp:positionH>
                <wp:positionV relativeFrom="paragraph">
                  <wp:posOffset>12700</wp:posOffset>
                </wp:positionV>
                <wp:extent cx="675640" cy="572135"/>
                <wp:effectExtent l="19050" t="0" r="0" b="0"/>
                <wp:wrapThrough wrapText="bothSides">
                  <wp:wrapPolygon edited="0">
                    <wp:start x="-609" y="0"/>
                    <wp:lineTo x="-609" y="20857"/>
                    <wp:lineTo x="21316" y="20857"/>
                    <wp:lineTo x="21316" y="0"/>
                    <wp:lineTo x="-609"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675640" cy="572135"/>
                        </a:xfrm>
                        <a:prstGeom prst="rect">
                          <a:avLst/>
                        </a:prstGeom>
                        <a:solidFill>
                          <a:srgbClr val="FFFFFF"/>
                        </a:solidFill>
                      </pic:spPr>
                    </pic:pic>
                  </a:graphicData>
                </a:graphic>
              </wp:anchor>
            </w:drawing>
          </w:r>
        </w:p>
      </w:tc>
      <w:tc>
        <w:tcPr>
          <w:tcW w:w="3969" w:type="dxa"/>
          <w:tcBorders>
            <w:top w:val="single" w:sz="4" w:space="0" w:color="auto"/>
            <w:left w:val="single" w:sz="4" w:space="0" w:color="auto"/>
            <w:bottom w:val="single" w:sz="4" w:space="0" w:color="auto"/>
            <w:right w:val="single" w:sz="4" w:space="0" w:color="auto"/>
          </w:tcBorders>
          <w:vAlign w:val="center"/>
          <w:hideMark/>
        </w:tcPr>
        <w:p w:rsidR="00F44F08" w:rsidRPr="00B25424" w:rsidRDefault="00F44F08" w:rsidP="006B7371">
          <w:pPr>
            <w:pStyle w:val="a3"/>
            <w:spacing w:line="216" w:lineRule="auto"/>
            <w:jc w:val="center"/>
            <w:rPr>
              <w:rFonts w:ascii="Times New Roman" w:hAnsi="Times New Roman"/>
              <w:sz w:val="20"/>
              <w:szCs w:val="20"/>
            </w:rPr>
          </w:pPr>
          <w:r w:rsidRPr="00B25424">
            <w:rPr>
              <w:rFonts w:ascii="Times New Roman" w:hAnsi="Times New Roman"/>
              <w:sz w:val="20"/>
              <w:szCs w:val="20"/>
            </w:rPr>
            <w:t>Система менеджменту якості.</w:t>
          </w:r>
        </w:p>
        <w:p w:rsidR="00F44F08" w:rsidRPr="00B25424" w:rsidRDefault="00F44F08" w:rsidP="0059523A">
          <w:pPr>
            <w:pStyle w:val="a3"/>
            <w:spacing w:line="216" w:lineRule="auto"/>
            <w:jc w:val="center"/>
            <w:rPr>
              <w:rFonts w:ascii="Times New Roman" w:hAnsi="Times New Roman"/>
              <w:b/>
            </w:rPr>
          </w:pPr>
          <w:r w:rsidRPr="00B25424">
            <w:rPr>
              <w:rFonts w:ascii="Times New Roman" w:hAnsi="Times New Roman"/>
              <w:sz w:val="20"/>
              <w:szCs w:val="20"/>
            </w:rPr>
            <w:t xml:space="preserve">Положення про навчально-методичний комплекс з навчальної дисципліни </w:t>
          </w:r>
          <w:r w:rsidR="008D5A8B">
            <w:rPr>
              <w:rFonts w:ascii="Times New Roman" w:hAnsi="Times New Roman"/>
              <w:sz w:val="20"/>
              <w:szCs w:val="20"/>
            </w:rPr>
            <w:t>«Транспорт</w:t>
          </w:r>
          <w:r w:rsidR="0059523A">
            <w:rPr>
              <w:rFonts w:ascii="Times New Roman" w:hAnsi="Times New Roman"/>
              <w:sz w:val="20"/>
              <w:szCs w:val="20"/>
            </w:rPr>
            <w:t>не</w:t>
          </w:r>
          <w:r w:rsidR="008D5A8B">
            <w:rPr>
              <w:rFonts w:ascii="Times New Roman" w:hAnsi="Times New Roman"/>
              <w:sz w:val="20"/>
              <w:szCs w:val="20"/>
            </w:rPr>
            <w:t xml:space="preserve"> право Європейського Союзу»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F44F08" w:rsidRPr="00B25424" w:rsidRDefault="00F44F08" w:rsidP="006B7371">
          <w:pPr>
            <w:pStyle w:val="a3"/>
            <w:jc w:val="center"/>
            <w:rPr>
              <w:rFonts w:ascii="Times New Roman" w:hAnsi="Times New Roman"/>
              <w:sz w:val="20"/>
              <w:szCs w:val="20"/>
            </w:rPr>
          </w:pPr>
          <w:r w:rsidRPr="00B25424">
            <w:rPr>
              <w:rFonts w:ascii="Times New Roman" w:hAnsi="Times New Roman"/>
              <w:sz w:val="20"/>
              <w:szCs w:val="20"/>
            </w:rPr>
            <w:t>Шифр</w:t>
          </w:r>
        </w:p>
        <w:p w:rsidR="00F44F08" w:rsidRPr="00B25424" w:rsidRDefault="00F44F08" w:rsidP="006B7371">
          <w:pPr>
            <w:pStyle w:val="a3"/>
            <w:jc w:val="center"/>
            <w:rPr>
              <w:rFonts w:ascii="Times New Roman" w:hAnsi="Times New Roman"/>
              <w:sz w:val="20"/>
              <w:szCs w:val="20"/>
            </w:rPr>
          </w:pPr>
          <w:r w:rsidRPr="00B25424">
            <w:rPr>
              <w:rFonts w:ascii="Times New Roman" w:hAnsi="Times New Roman"/>
              <w:sz w:val="20"/>
              <w:szCs w:val="20"/>
            </w:rPr>
            <w:t>документа</w:t>
          </w:r>
        </w:p>
      </w:tc>
      <w:tc>
        <w:tcPr>
          <w:tcW w:w="2279" w:type="dxa"/>
          <w:tcBorders>
            <w:top w:val="single" w:sz="4" w:space="0" w:color="auto"/>
            <w:left w:val="single" w:sz="4" w:space="0" w:color="auto"/>
            <w:bottom w:val="single" w:sz="4" w:space="0" w:color="auto"/>
            <w:right w:val="single" w:sz="4" w:space="0" w:color="auto"/>
          </w:tcBorders>
          <w:vAlign w:val="center"/>
          <w:hideMark/>
        </w:tcPr>
        <w:p w:rsidR="00F44F08" w:rsidRPr="00B25424" w:rsidRDefault="00F44F08" w:rsidP="006B7371">
          <w:pPr>
            <w:pStyle w:val="a3"/>
            <w:jc w:val="center"/>
            <w:rPr>
              <w:rFonts w:ascii="Times New Roman" w:hAnsi="Times New Roman"/>
              <w:smallCaps/>
              <w:sz w:val="20"/>
              <w:szCs w:val="20"/>
            </w:rPr>
          </w:pPr>
          <w:r w:rsidRPr="00B25424">
            <w:rPr>
              <w:rFonts w:ascii="Times New Roman" w:hAnsi="Times New Roman"/>
              <w:smallCaps/>
              <w:sz w:val="20"/>
              <w:szCs w:val="20"/>
            </w:rPr>
            <w:t xml:space="preserve">СМЯ НАУ </w:t>
          </w:r>
        </w:p>
        <w:p w:rsidR="00F44F08" w:rsidRPr="0049411E" w:rsidRDefault="00F44F08" w:rsidP="006B7371">
          <w:pPr>
            <w:spacing w:after="0" w:line="240" w:lineRule="auto"/>
            <w:jc w:val="center"/>
            <w:rPr>
              <w:rFonts w:ascii="Times New Roman" w:hAnsi="Times New Roman"/>
              <w:sz w:val="20"/>
              <w:szCs w:val="20"/>
              <w:lang w:eastAsia="ru-RU"/>
            </w:rPr>
          </w:pPr>
          <w:r w:rsidRPr="0049411E">
            <w:rPr>
              <w:rFonts w:ascii="Times New Roman" w:hAnsi="Times New Roman"/>
              <w:sz w:val="20"/>
              <w:szCs w:val="20"/>
              <w:lang w:eastAsia="ru-RU"/>
            </w:rPr>
            <w:t>СМЯ НАУ РП 13.01.05-01-2017</w:t>
          </w:r>
        </w:p>
        <w:p w:rsidR="00F44F08" w:rsidRPr="00B25424" w:rsidRDefault="00F44F08" w:rsidP="006B7371">
          <w:pPr>
            <w:pStyle w:val="a3"/>
            <w:jc w:val="center"/>
            <w:rPr>
              <w:rFonts w:ascii="Times New Roman" w:hAnsi="Times New Roman"/>
              <w:sz w:val="20"/>
              <w:szCs w:val="20"/>
            </w:rPr>
          </w:pPr>
        </w:p>
      </w:tc>
    </w:tr>
  </w:tbl>
  <w:p w:rsidR="00F44F08" w:rsidRDefault="00F44F0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7443"/>
    <w:multiLevelType w:val="hybridMultilevel"/>
    <w:tmpl w:val="89CCEF78"/>
    <w:lvl w:ilvl="0" w:tplc="85266692">
      <w:start w:val="1"/>
      <w:numFmt w:val="decimal"/>
      <w:lvlText w:val="%1."/>
      <w:lvlJc w:val="left"/>
      <w:pPr>
        <w:ind w:left="1211" w:hanging="360"/>
      </w:pPr>
      <w:rPr>
        <w:rFonts w:hint="default"/>
        <w:b/>
        <w:i/>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3C30597"/>
    <w:multiLevelType w:val="hybridMultilevel"/>
    <w:tmpl w:val="79284E10"/>
    <w:lvl w:ilvl="0" w:tplc="B54CC6C2">
      <w:start w:val="1"/>
      <w:numFmt w:val="decimal"/>
      <w:lvlText w:val="%1."/>
      <w:lvlJc w:val="left"/>
      <w:pPr>
        <w:ind w:left="990" w:hanging="63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EB3B74"/>
    <w:multiLevelType w:val="hybridMultilevel"/>
    <w:tmpl w:val="DE5C2C2A"/>
    <w:lvl w:ilvl="0" w:tplc="851E5F5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348514C8"/>
    <w:multiLevelType w:val="hybridMultilevel"/>
    <w:tmpl w:val="79284E10"/>
    <w:lvl w:ilvl="0" w:tplc="B54CC6C2">
      <w:start w:val="1"/>
      <w:numFmt w:val="decimal"/>
      <w:lvlText w:val="%1."/>
      <w:lvlJc w:val="left"/>
      <w:pPr>
        <w:ind w:left="990" w:hanging="63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DD2685"/>
    <w:multiLevelType w:val="hybridMultilevel"/>
    <w:tmpl w:val="E6165EF4"/>
    <w:lvl w:ilvl="0" w:tplc="96248612">
      <w:start w:val="1"/>
      <w:numFmt w:val="decimal"/>
      <w:lvlText w:val="%1."/>
      <w:lvlJc w:val="left"/>
      <w:pPr>
        <w:ind w:left="1211" w:hanging="360"/>
      </w:pPr>
      <w:rPr>
        <w:rFonts w:hint="default"/>
        <w:b/>
        <w:i/>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DBA1C85"/>
    <w:multiLevelType w:val="hybridMultilevel"/>
    <w:tmpl w:val="79284E10"/>
    <w:lvl w:ilvl="0" w:tplc="B54CC6C2">
      <w:start w:val="1"/>
      <w:numFmt w:val="decimal"/>
      <w:lvlText w:val="%1."/>
      <w:lvlJc w:val="left"/>
      <w:pPr>
        <w:ind w:left="990" w:hanging="63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765BD0"/>
    <w:multiLevelType w:val="hybridMultilevel"/>
    <w:tmpl w:val="99700856"/>
    <w:lvl w:ilvl="0" w:tplc="6E88E400">
      <w:numFmt w:val="bullet"/>
      <w:lvlText w:val="-"/>
      <w:lvlJc w:val="left"/>
      <w:pPr>
        <w:tabs>
          <w:tab w:val="num" w:pos="1272"/>
        </w:tabs>
        <w:ind w:left="1272" w:hanging="360"/>
      </w:pPr>
      <w:rPr>
        <w:rFonts w:ascii="Times New Roman" w:eastAsia="Times New Roman" w:hAnsi="Times New Roman" w:cs="Times New Roman" w:hint="default"/>
      </w:rPr>
    </w:lvl>
    <w:lvl w:ilvl="1" w:tplc="04190003" w:tentative="1">
      <w:start w:val="1"/>
      <w:numFmt w:val="bullet"/>
      <w:lvlText w:val="o"/>
      <w:lvlJc w:val="left"/>
      <w:pPr>
        <w:tabs>
          <w:tab w:val="num" w:pos="1992"/>
        </w:tabs>
        <w:ind w:left="1992" w:hanging="360"/>
      </w:pPr>
      <w:rPr>
        <w:rFonts w:ascii="Courier New" w:hAnsi="Courier New" w:hint="default"/>
      </w:rPr>
    </w:lvl>
    <w:lvl w:ilvl="2" w:tplc="04190005" w:tentative="1">
      <w:start w:val="1"/>
      <w:numFmt w:val="bullet"/>
      <w:lvlText w:val=""/>
      <w:lvlJc w:val="left"/>
      <w:pPr>
        <w:tabs>
          <w:tab w:val="num" w:pos="2712"/>
        </w:tabs>
        <w:ind w:left="2712" w:hanging="360"/>
      </w:pPr>
      <w:rPr>
        <w:rFonts w:ascii="Wingdings" w:hAnsi="Wingdings" w:hint="default"/>
      </w:rPr>
    </w:lvl>
    <w:lvl w:ilvl="3" w:tplc="04190001" w:tentative="1">
      <w:start w:val="1"/>
      <w:numFmt w:val="bullet"/>
      <w:lvlText w:val=""/>
      <w:lvlJc w:val="left"/>
      <w:pPr>
        <w:tabs>
          <w:tab w:val="num" w:pos="3432"/>
        </w:tabs>
        <w:ind w:left="3432" w:hanging="360"/>
      </w:pPr>
      <w:rPr>
        <w:rFonts w:ascii="Symbol" w:hAnsi="Symbol" w:hint="default"/>
      </w:rPr>
    </w:lvl>
    <w:lvl w:ilvl="4" w:tplc="04190003" w:tentative="1">
      <w:start w:val="1"/>
      <w:numFmt w:val="bullet"/>
      <w:lvlText w:val="o"/>
      <w:lvlJc w:val="left"/>
      <w:pPr>
        <w:tabs>
          <w:tab w:val="num" w:pos="4152"/>
        </w:tabs>
        <w:ind w:left="4152" w:hanging="360"/>
      </w:pPr>
      <w:rPr>
        <w:rFonts w:ascii="Courier New" w:hAnsi="Courier New" w:hint="default"/>
      </w:rPr>
    </w:lvl>
    <w:lvl w:ilvl="5" w:tplc="04190005" w:tentative="1">
      <w:start w:val="1"/>
      <w:numFmt w:val="bullet"/>
      <w:lvlText w:val=""/>
      <w:lvlJc w:val="left"/>
      <w:pPr>
        <w:tabs>
          <w:tab w:val="num" w:pos="4872"/>
        </w:tabs>
        <w:ind w:left="4872" w:hanging="360"/>
      </w:pPr>
      <w:rPr>
        <w:rFonts w:ascii="Wingdings" w:hAnsi="Wingdings" w:hint="default"/>
      </w:rPr>
    </w:lvl>
    <w:lvl w:ilvl="6" w:tplc="04190001" w:tentative="1">
      <w:start w:val="1"/>
      <w:numFmt w:val="bullet"/>
      <w:lvlText w:val=""/>
      <w:lvlJc w:val="left"/>
      <w:pPr>
        <w:tabs>
          <w:tab w:val="num" w:pos="5592"/>
        </w:tabs>
        <w:ind w:left="5592" w:hanging="360"/>
      </w:pPr>
      <w:rPr>
        <w:rFonts w:ascii="Symbol" w:hAnsi="Symbol" w:hint="default"/>
      </w:rPr>
    </w:lvl>
    <w:lvl w:ilvl="7" w:tplc="04190003" w:tentative="1">
      <w:start w:val="1"/>
      <w:numFmt w:val="bullet"/>
      <w:lvlText w:val="o"/>
      <w:lvlJc w:val="left"/>
      <w:pPr>
        <w:tabs>
          <w:tab w:val="num" w:pos="6312"/>
        </w:tabs>
        <w:ind w:left="6312" w:hanging="360"/>
      </w:pPr>
      <w:rPr>
        <w:rFonts w:ascii="Courier New" w:hAnsi="Courier New" w:hint="default"/>
      </w:rPr>
    </w:lvl>
    <w:lvl w:ilvl="8" w:tplc="04190005" w:tentative="1">
      <w:start w:val="1"/>
      <w:numFmt w:val="bullet"/>
      <w:lvlText w:val=""/>
      <w:lvlJc w:val="left"/>
      <w:pPr>
        <w:tabs>
          <w:tab w:val="num" w:pos="7032"/>
        </w:tabs>
        <w:ind w:left="7032" w:hanging="360"/>
      </w:pPr>
      <w:rPr>
        <w:rFonts w:ascii="Wingdings" w:hAnsi="Wingdings" w:hint="default"/>
      </w:rPr>
    </w:lvl>
  </w:abstractNum>
  <w:abstractNum w:abstractNumId="7">
    <w:nsid w:val="54306DB3"/>
    <w:multiLevelType w:val="hybridMultilevel"/>
    <w:tmpl w:val="79284E10"/>
    <w:lvl w:ilvl="0" w:tplc="B54CC6C2">
      <w:start w:val="1"/>
      <w:numFmt w:val="decimal"/>
      <w:lvlText w:val="%1."/>
      <w:lvlJc w:val="left"/>
      <w:pPr>
        <w:ind w:left="990" w:hanging="63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6F23D0"/>
    <w:multiLevelType w:val="hybridMultilevel"/>
    <w:tmpl w:val="1D8626A6"/>
    <w:lvl w:ilvl="0" w:tplc="8856E88A">
      <w:start w:val="1"/>
      <w:numFmt w:val="bullet"/>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1361ABB"/>
    <w:multiLevelType w:val="hybridMultilevel"/>
    <w:tmpl w:val="97FC279E"/>
    <w:lvl w:ilvl="0" w:tplc="0A0E20C6">
      <w:start w:val="1"/>
      <w:numFmt w:val="decimal"/>
      <w:lvlText w:val="%1."/>
      <w:lvlJc w:val="left"/>
      <w:pPr>
        <w:ind w:left="1211" w:hanging="360"/>
      </w:pPr>
      <w:rPr>
        <w:rFonts w:hint="default"/>
        <w:b/>
        <w:i/>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62994B04"/>
    <w:multiLevelType w:val="hybridMultilevel"/>
    <w:tmpl w:val="A93A8F6E"/>
    <w:lvl w:ilvl="0" w:tplc="CD269E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693A2370"/>
    <w:multiLevelType w:val="hybridMultilevel"/>
    <w:tmpl w:val="297CF80A"/>
    <w:lvl w:ilvl="0" w:tplc="DDDE2BD0">
      <w:start w:val="1"/>
      <w:numFmt w:val="decimal"/>
      <w:lvlText w:val="%1."/>
      <w:lvlJc w:val="left"/>
      <w:pPr>
        <w:ind w:left="1211" w:hanging="360"/>
      </w:pPr>
      <w:rPr>
        <w:rFonts w:hint="default"/>
        <w:b/>
        <w:i/>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6A051F52"/>
    <w:multiLevelType w:val="hybridMultilevel"/>
    <w:tmpl w:val="1D8626A6"/>
    <w:lvl w:ilvl="0" w:tplc="B6DCCE60">
      <w:start w:val="1"/>
      <w:numFmt w:val="bullet"/>
      <w:lvlText w:val=""/>
      <w:lvlJc w:val="left"/>
      <w:pPr>
        <w:tabs>
          <w:tab w:val="num" w:pos="36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D9C517D"/>
    <w:multiLevelType w:val="hybridMultilevel"/>
    <w:tmpl w:val="A93A8F6E"/>
    <w:lvl w:ilvl="0" w:tplc="CD269E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6DA10C18"/>
    <w:multiLevelType w:val="hybridMultilevel"/>
    <w:tmpl w:val="79284E10"/>
    <w:lvl w:ilvl="0" w:tplc="B54CC6C2">
      <w:start w:val="1"/>
      <w:numFmt w:val="decimal"/>
      <w:lvlText w:val="%1."/>
      <w:lvlJc w:val="left"/>
      <w:pPr>
        <w:ind w:left="990" w:hanging="63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56674B"/>
    <w:multiLevelType w:val="hybridMultilevel"/>
    <w:tmpl w:val="8166C9B0"/>
    <w:lvl w:ilvl="0" w:tplc="91E80408">
      <w:start w:val="1"/>
      <w:numFmt w:val="decimal"/>
      <w:lvlText w:val="%1."/>
      <w:lvlJc w:val="left"/>
      <w:pPr>
        <w:tabs>
          <w:tab w:val="num" w:pos="1069"/>
        </w:tabs>
        <w:ind w:left="1069" w:hanging="360"/>
      </w:pPr>
      <w:rPr>
        <w:rFonts w:hint="default"/>
      </w:rPr>
    </w:lvl>
    <w:lvl w:ilvl="1" w:tplc="E6140DD0">
      <w:numFmt w:val="bullet"/>
      <w:lvlText w:val="-"/>
      <w:lvlJc w:val="left"/>
      <w:pPr>
        <w:tabs>
          <w:tab w:val="num" w:pos="1789"/>
        </w:tabs>
        <w:ind w:left="1789" w:hanging="360"/>
      </w:pPr>
      <w:rPr>
        <w:rFonts w:ascii="Times New Roman" w:eastAsia="Times New Roman" w:hAnsi="Times New Roman" w:cs="Times New Roman"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77A837A4"/>
    <w:multiLevelType w:val="hybridMultilevel"/>
    <w:tmpl w:val="DE5C2C2A"/>
    <w:lvl w:ilvl="0" w:tplc="851E5F5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7B640335"/>
    <w:multiLevelType w:val="hybridMultilevel"/>
    <w:tmpl w:val="1E26F4E6"/>
    <w:lvl w:ilvl="0" w:tplc="CD269E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7EDE6643"/>
    <w:multiLevelType w:val="hybridMultilevel"/>
    <w:tmpl w:val="79284E10"/>
    <w:lvl w:ilvl="0" w:tplc="B54CC6C2">
      <w:start w:val="1"/>
      <w:numFmt w:val="decimal"/>
      <w:lvlText w:val="%1."/>
      <w:lvlJc w:val="left"/>
      <w:pPr>
        <w:ind w:left="990" w:hanging="63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
  </w:num>
  <w:num w:numId="3">
    <w:abstractNumId w:val="3"/>
  </w:num>
  <w:num w:numId="4">
    <w:abstractNumId w:val="18"/>
  </w:num>
  <w:num w:numId="5">
    <w:abstractNumId w:val="7"/>
  </w:num>
  <w:num w:numId="6">
    <w:abstractNumId w:val="5"/>
  </w:num>
  <w:num w:numId="7">
    <w:abstractNumId w:val="13"/>
  </w:num>
  <w:num w:numId="8">
    <w:abstractNumId w:val="15"/>
  </w:num>
  <w:num w:numId="9">
    <w:abstractNumId w:val="2"/>
  </w:num>
  <w:num w:numId="10">
    <w:abstractNumId w:val="6"/>
  </w:num>
  <w:num w:numId="11">
    <w:abstractNumId w:val="16"/>
  </w:num>
  <w:num w:numId="12">
    <w:abstractNumId w:val="8"/>
  </w:num>
  <w:num w:numId="13">
    <w:abstractNumId w:val="12"/>
  </w:num>
  <w:num w:numId="14">
    <w:abstractNumId w:val="10"/>
  </w:num>
  <w:num w:numId="15">
    <w:abstractNumId w:val="17"/>
  </w:num>
  <w:num w:numId="16">
    <w:abstractNumId w:val="11"/>
  </w:num>
  <w:num w:numId="17">
    <w:abstractNumId w:val="0"/>
  </w:num>
  <w:num w:numId="18">
    <w:abstractNumId w:val="4"/>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hdrShapeDefaults>
    <o:shapedefaults v:ext="edit" spidmax="9218"/>
  </w:hdrShapeDefaults>
  <w:footnotePr>
    <w:footnote w:id="-1"/>
    <w:footnote w:id="0"/>
  </w:footnotePr>
  <w:endnotePr>
    <w:endnote w:id="-1"/>
    <w:endnote w:id="0"/>
  </w:endnotePr>
  <w:compat/>
  <w:rsids>
    <w:rsidRoot w:val="00F44F08"/>
    <w:rsid w:val="0004305F"/>
    <w:rsid w:val="00097969"/>
    <w:rsid w:val="000B0573"/>
    <w:rsid w:val="00192429"/>
    <w:rsid w:val="002D6C6C"/>
    <w:rsid w:val="003010F9"/>
    <w:rsid w:val="00317594"/>
    <w:rsid w:val="004C37C7"/>
    <w:rsid w:val="004F4BCD"/>
    <w:rsid w:val="005355A5"/>
    <w:rsid w:val="005806D0"/>
    <w:rsid w:val="0059523A"/>
    <w:rsid w:val="005C646C"/>
    <w:rsid w:val="006B667E"/>
    <w:rsid w:val="006F0CB8"/>
    <w:rsid w:val="00752E2F"/>
    <w:rsid w:val="007E7A33"/>
    <w:rsid w:val="008D5A8B"/>
    <w:rsid w:val="00A12858"/>
    <w:rsid w:val="00A171DB"/>
    <w:rsid w:val="00AA3227"/>
    <w:rsid w:val="00AC5275"/>
    <w:rsid w:val="00BC728C"/>
    <w:rsid w:val="00BE0639"/>
    <w:rsid w:val="00BF2719"/>
    <w:rsid w:val="00C1724B"/>
    <w:rsid w:val="00D15BCE"/>
    <w:rsid w:val="00DE4018"/>
    <w:rsid w:val="00DE5BF6"/>
    <w:rsid w:val="00E8529E"/>
    <w:rsid w:val="00F44F08"/>
    <w:rsid w:val="00F62C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C6C"/>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4F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4F08"/>
    <w:rPr>
      <w:lang w:val="uk-UA"/>
    </w:rPr>
  </w:style>
  <w:style w:type="paragraph" w:styleId="a5">
    <w:name w:val="footer"/>
    <w:basedOn w:val="a"/>
    <w:link w:val="a6"/>
    <w:uiPriority w:val="99"/>
    <w:semiHidden/>
    <w:unhideWhenUsed/>
    <w:rsid w:val="00F44F0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44F08"/>
    <w:rPr>
      <w:lang w:val="uk-UA"/>
    </w:rPr>
  </w:style>
  <w:style w:type="paragraph" w:styleId="a7">
    <w:name w:val="List Paragraph"/>
    <w:basedOn w:val="a"/>
    <w:uiPriority w:val="34"/>
    <w:qFormat/>
    <w:rsid w:val="005355A5"/>
    <w:pPr>
      <w:ind w:left="720"/>
      <w:contextualSpacing/>
    </w:pPr>
  </w:style>
  <w:style w:type="paragraph" w:styleId="a8">
    <w:name w:val="Normal (Web)"/>
    <w:basedOn w:val="a"/>
    <w:uiPriority w:val="99"/>
    <w:semiHidden/>
    <w:unhideWhenUsed/>
    <w:rsid w:val="00BE063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0"/>
    <w:uiPriority w:val="22"/>
    <w:qFormat/>
    <w:rsid w:val="00BE0639"/>
    <w:rPr>
      <w:b/>
      <w:bCs/>
    </w:rPr>
  </w:style>
  <w:style w:type="paragraph" w:styleId="aa">
    <w:name w:val="No Spacing"/>
    <w:uiPriority w:val="1"/>
    <w:qFormat/>
    <w:rsid w:val="00BE0639"/>
    <w:pPr>
      <w:spacing w:after="0" w:line="240" w:lineRule="auto"/>
    </w:pPr>
    <w:rPr>
      <w:lang w:val="uk-UA"/>
    </w:rPr>
  </w:style>
  <w:style w:type="paragraph" w:styleId="3">
    <w:name w:val="Body Text Indent 3"/>
    <w:basedOn w:val="a"/>
    <w:link w:val="30"/>
    <w:rsid w:val="00A12858"/>
    <w:pPr>
      <w:spacing w:after="0" w:line="240" w:lineRule="auto"/>
      <w:ind w:firstLine="709"/>
      <w:jc w:val="both"/>
    </w:pPr>
    <w:rPr>
      <w:rFonts w:ascii="Times New Roman" w:eastAsia="Times New Roman" w:hAnsi="Times New Roman" w:cs="Times New Roman"/>
      <w:color w:val="000000"/>
      <w:sz w:val="28"/>
      <w:szCs w:val="24"/>
      <w:lang w:eastAsia="ru-RU"/>
    </w:rPr>
  </w:style>
  <w:style w:type="character" w:customStyle="1" w:styleId="30">
    <w:name w:val="Основной текст с отступом 3 Знак"/>
    <w:basedOn w:val="a0"/>
    <w:link w:val="3"/>
    <w:rsid w:val="00A12858"/>
    <w:rPr>
      <w:rFonts w:ascii="Times New Roman" w:eastAsia="Times New Roman" w:hAnsi="Times New Roman" w:cs="Times New Roman"/>
      <w:color w:val="000000"/>
      <w:sz w:val="28"/>
      <w:szCs w:val="24"/>
      <w:lang w:val="uk-UA" w:eastAsia="ru-RU"/>
    </w:rPr>
  </w:style>
  <w:style w:type="paragraph" w:styleId="2">
    <w:name w:val="Body Text Indent 2"/>
    <w:basedOn w:val="a"/>
    <w:link w:val="20"/>
    <w:rsid w:val="00A12858"/>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rsid w:val="00A12858"/>
    <w:rPr>
      <w:rFonts w:ascii="Times New Roman" w:eastAsia="Times New Roman" w:hAnsi="Times New Roman" w:cs="Times New Roman"/>
      <w:sz w:val="24"/>
      <w:szCs w:val="24"/>
      <w:lang w:eastAsia="ru-RU"/>
    </w:rPr>
  </w:style>
  <w:style w:type="table" w:styleId="ab">
    <w:name w:val="Table Grid"/>
    <w:basedOn w:val="a1"/>
    <w:rsid w:val="00A171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8339677">
      <w:bodyDiv w:val="1"/>
      <w:marLeft w:val="0"/>
      <w:marRight w:val="0"/>
      <w:marTop w:val="0"/>
      <w:marBottom w:val="0"/>
      <w:divBdr>
        <w:top w:val="none" w:sz="0" w:space="0" w:color="auto"/>
        <w:left w:val="none" w:sz="0" w:space="0" w:color="auto"/>
        <w:bottom w:val="none" w:sz="0" w:space="0" w:color="auto"/>
        <w:right w:val="none" w:sz="0" w:space="0" w:color="auto"/>
      </w:divBdr>
    </w:div>
    <w:div w:id="128778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28</Pages>
  <Words>10378</Words>
  <Characters>59156</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cp:lastModifiedBy>
  <cp:revision>18</cp:revision>
  <dcterms:created xsi:type="dcterms:W3CDTF">2018-03-22T18:00:00Z</dcterms:created>
  <dcterms:modified xsi:type="dcterms:W3CDTF">2018-03-25T07:16:00Z</dcterms:modified>
</cp:coreProperties>
</file>