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00" w:rsidRPr="00233300" w:rsidRDefault="00233300" w:rsidP="00233300">
      <w:pPr>
        <w:spacing w:after="0" w:line="360" w:lineRule="auto"/>
        <w:ind w:firstLine="709"/>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УДК 347.78(043.2)</w:t>
      </w:r>
    </w:p>
    <w:p w:rsidR="00233300" w:rsidRPr="00233300" w:rsidRDefault="00233300" w:rsidP="00233300">
      <w:pPr>
        <w:spacing w:after="0" w:line="360" w:lineRule="auto"/>
        <w:ind w:firstLine="709"/>
        <w:jc w:val="right"/>
        <w:rPr>
          <w:rFonts w:ascii="Times New Roman" w:eastAsia="Calibri" w:hAnsi="Times New Roman" w:cs="Times New Roman"/>
          <w:b/>
          <w:color w:val="000000"/>
          <w:sz w:val="28"/>
          <w:szCs w:val="28"/>
          <w:lang w:val="uk-UA"/>
        </w:rPr>
      </w:pPr>
      <w:proofErr w:type="spellStart"/>
      <w:r w:rsidRPr="00233300">
        <w:rPr>
          <w:rFonts w:ascii="Times New Roman" w:eastAsia="Calibri" w:hAnsi="Times New Roman" w:cs="Times New Roman"/>
          <w:b/>
          <w:color w:val="000000"/>
          <w:sz w:val="28"/>
          <w:szCs w:val="28"/>
          <w:lang w:val="uk-UA"/>
        </w:rPr>
        <w:t>Оленюк</w:t>
      </w:r>
      <w:proofErr w:type="spellEnd"/>
      <w:r w:rsidRPr="00233300">
        <w:rPr>
          <w:rFonts w:ascii="Times New Roman" w:eastAsia="Calibri" w:hAnsi="Times New Roman" w:cs="Times New Roman"/>
          <w:b/>
          <w:color w:val="000000"/>
          <w:sz w:val="28"/>
          <w:szCs w:val="28"/>
          <w:lang w:val="uk-UA"/>
        </w:rPr>
        <w:t xml:space="preserve"> А.А.,</w:t>
      </w:r>
      <w:r w:rsidRPr="00233300">
        <w:rPr>
          <w:rFonts w:ascii="Times New Roman" w:eastAsia="Calibri" w:hAnsi="Times New Roman" w:cs="Times New Roman"/>
          <w:color w:val="000000"/>
          <w:sz w:val="28"/>
          <w:szCs w:val="28"/>
          <w:lang w:val="uk-UA"/>
        </w:rPr>
        <w:t xml:space="preserve"> студентка,</w:t>
      </w:r>
    </w:p>
    <w:p w:rsidR="00233300" w:rsidRPr="00233300" w:rsidRDefault="00233300" w:rsidP="00233300">
      <w:pPr>
        <w:spacing w:after="0" w:line="360" w:lineRule="auto"/>
        <w:ind w:firstLine="709"/>
        <w:jc w:val="right"/>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Юридичний факультет,</w:t>
      </w:r>
    </w:p>
    <w:p w:rsidR="00233300" w:rsidRPr="00233300" w:rsidRDefault="00233300" w:rsidP="00233300">
      <w:pPr>
        <w:spacing w:after="0" w:line="360" w:lineRule="auto"/>
        <w:ind w:firstLine="709"/>
        <w:jc w:val="right"/>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Національного авіаційного університету</w:t>
      </w:r>
    </w:p>
    <w:p w:rsidR="00233300" w:rsidRPr="00233300" w:rsidRDefault="00233300" w:rsidP="00233300">
      <w:pPr>
        <w:spacing w:after="0" w:line="360" w:lineRule="auto"/>
        <w:ind w:firstLine="709"/>
        <w:jc w:val="right"/>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Науковий керівник: Білоусов В.М., старший викладач</w:t>
      </w:r>
    </w:p>
    <w:p w:rsidR="00233300" w:rsidRPr="00233300" w:rsidRDefault="00233300" w:rsidP="00233300">
      <w:pPr>
        <w:spacing w:after="0" w:line="360" w:lineRule="auto"/>
        <w:ind w:firstLine="709"/>
        <w:jc w:val="right"/>
        <w:rPr>
          <w:rFonts w:ascii="Times New Roman" w:eastAsia="Calibri" w:hAnsi="Times New Roman" w:cs="Times New Roman"/>
          <w:color w:val="000000"/>
          <w:sz w:val="28"/>
          <w:szCs w:val="28"/>
          <w:lang w:val="uk-UA"/>
        </w:rPr>
      </w:pPr>
    </w:p>
    <w:p w:rsidR="00233300" w:rsidRPr="00233300" w:rsidRDefault="00233300" w:rsidP="00233300">
      <w:pPr>
        <w:spacing w:after="0" w:line="360" w:lineRule="auto"/>
        <w:ind w:firstLine="709"/>
        <w:jc w:val="center"/>
        <w:rPr>
          <w:rFonts w:ascii="Times New Roman" w:eastAsia="Calibri" w:hAnsi="Times New Roman" w:cs="Times New Roman"/>
          <w:b/>
          <w:color w:val="000000"/>
          <w:sz w:val="28"/>
          <w:szCs w:val="28"/>
          <w:lang w:val="uk-UA"/>
        </w:rPr>
      </w:pPr>
      <w:r w:rsidRPr="00233300">
        <w:rPr>
          <w:rFonts w:ascii="Times New Roman" w:eastAsia="Calibri" w:hAnsi="Times New Roman" w:cs="Times New Roman"/>
          <w:b/>
          <w:color w:val="000000"/>
          <w:sz w:val="28"/>
          <w:szCs w:val="28"/>
          <w:lang w:val="uk-UA"/>
        </w:rPr>
        <w:t>ОСОБЛИВОСТІ СПАДКУВАННЯ АВТОРСЬКИХ ПРАВ</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Об’єкти права інтелектуальної власності є особливими об’єктами цивільного обороту зі спеціальним правовим режимом. При цьому значна частка таких об’єктів пов’язана з авторськими та суміжними правами. Якщо спори, які виникають під час спадкування нерухомості, автомобілів тощо, мають напрацьовану практику їх вирішення, яка, в свою чергу, базується на відповідній теоретичній базі, то вирішення спорів щодо спадкування авторських прав щодо об’єктів інтелектуальної власності викликає труднощі на практиці. На жаль, на сьогоднішній день ці проблеми не знайшли належного відображення  ні в самому законодавстві, ні в узагальненнях та роз’ясненнях органів судової влади, ні в науковій літературі. Саме тому в умовах сучасного розвитку цивільного права ця тема є надзвичайно актуальною і заслуговує дослідження.</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Творча діяльність людей є надзвичайно різноманітною. Результати такої діяльності також характеризуються різноманітністю. В одному випадку це можуть бути літературні, музичні твори, а в іншому − винахід, раціоналізаторська пропозиція, корисні моделі тощо. Але у будь-якому разі об’єкти творчої діяльності людей потребують правової охорони. Правова охорона творів у галузі літератури, науки, мистецтва, зокрема статей, монографій, дисертацій, картин, музичних творів, творів скульптури, архітектури, фотографій здійснюється авторським правом.</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 xml:space="preserve">Об’єктами авторського права є твори. Таке правило закріплене у статті 433 Цивільного кодексу України [1]. Суб’єктами авторського права є автори </w:t>
      </w:r>
      <w:r w:rsidRPr="00233300">
        <w:rPr>
          <w:rFonts w:ascii="Times New Roman" w:eastAsia="Calibri" w:hAnsi="Times New Roman" w:cs="Times New Roman"/>
          <w:color w:val="000000"/>
          <w:sz w:val="28"/>
          <w:szCs w:val="28"/>
          <w:lang w:val="uk-UA"/>
        </w:rPr>
        <w:lastRenderedPageBreak/>
        <w:t xml:space="preserve">творів, їх спадкоємці та особи, яким автори чи їх спадкоємці передали свої авторські майнові права [2]. </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 xml:space="preserve">Згідно зі ст.1218 Цивільного кодексу України до складу спадщини входять всі права та обов’язки, що належали спадкодавцеві на момент відкриття спадщини і не припинялися внаслідок його смерті [1]. При цьому варто звернути увагу на те, що треба розрізняти об’єкти авторського права та авторське право як об’єкт спадкування, оскільки до спадкоємця переходять права на об’єкт, а не сам об’єкт. </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 xml:space="preserve">Законодавець чітко розподілив майнові та немайнові права, визначив їх види, що має юридичне значення для об’єктів цивільного обігу, які в тому числі можуть ставати об’єктами спадкування. Особисті немайнові права належать автору твору і не можуть переходити у спадок. Тому в даному контексті спадкування авторських прав, мова може йти лише про майнові права автора. Це зокрема, право на винагороду за використання результату творчої діяльності автора, право на розповсюдження твору, тощо [3, с.321].  </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Згідно з Цивільним кодексом України до майнових прав належать:</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1) право на використання твору;</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2) виключне право дозволяти використання твору;</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3) право  перешкоджати  неправомірному використанню твору,  в</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тому числі забороняти таке використання;</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4) інші майнові права інтелектуальної власності,  встановлені</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Законом [1].</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 xml:space="preserve">Із вищевикладеного бачимо, що в Цивільному кодексі виключним вважається лише право дозволяти використання твору, на відміну від Закону України «Про авторське право і суміжні права», де всі майнові права автора є виключними. До того ж у Цивільному кодексі передбачено майнове право перешкоджати неправомірному використанню твору. У вищезгаданому законі таке право відсутнє. Одразу ж виникає питання, яку саме норму необхідно застосовувати для визначення обсягу майнових прав, які належать автору й можуть згодом перейти у спадщину. Напевно, зазначені розбіжності </w:t>
      </w:r>
      <w:r w:rsidRPr="00233300">
        <w:rPr>
          <w:rFonts w:ascii="Times New Roman" w:eastAsia="Calibri" w:hAnsi="Times New Roman" w:cs="Times New Roman"/>
          <w:color w:val="000000"/>
          <w:sz w:val="28"/>
          <w:szCs w:val="28"/>
          <w:lang w:val="uk-UA"/>
        </w:rPr>
        <w:lastRenderedPageBreak/>
        <w:t xml:space="preserve">потребують подальшого узгодження, щоб запобігти виникненню можливих колізій на практиці. </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 xml:space="preserve">Загальна маса успадкованих авторських прав може містити як, безпосередньо авторські права, так і суміжні права. Під суміжними правами розуміється будь-яке виконання або використання творів, аудіо та відео записів авторів, програм мовлення виконавцями, виробниками та організаціями мовлення, тобто особами, які на законних підставах використовують результати творчої діяльності митців. Суміжні права переходять у спадщину на загальних підставах.  </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За загальним правилом процедура спадкування в Україні об’єктів права інтелектуальної власності нічим не відрізняється від спадкування будь-якого іншого майна, яке належало спадкодавцю [3, с.326].</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Підсумовуючи усе вищенаведене, можна зробити висновок, що існує необхідність проведення більш ґрунтовних досліджень з метою вдосконалення чинного законодавства про інтелектуальну власність, вироблення роз’яснень та узагальнень судової практики задля усунення розбіжностей між Цивільним кодексом України та спеціальним законом у сфері авторського права — Законом України «Про авторське право і суміжні права».</w:t>
      </w:r>
    </w:p>
    <w:p w:rsidR="00233300" w:rsidRPr="00233300" w:rsidRDefault="00233300" w:rsidP="00233300">
      <w:pPr>
        <w:spacing w:after="0" w:line="360" w:lineRule="auto"/>
        <w:ind w:firstLine="709"/>
        <w:jc w:val="both"/>
        <w:rPr>
          <w:rFonts w:ascii="Times New Roman" w:eastAsia="Calibri" w:hAnsi="Times New Roman" w:cs="Times New Roman"/>
          <w:color w:val="000000"/>
          <w:sz w:val="28"/>
          <w:szCs w:val="28"/>
          <w:lang w:val="uk-UA"/>
        </w:rPr>
      </w:pPr>
    </w:p>
    <w:p w:rsidR="00233300" w:rsidRPr="00233300" w:rsidRDefault="00233300" w:rsidP="00233300">
      <w:pPr>
        <w:spacing w:after="0" w:line="360" w:lineRule="auto"/>
        <w:ind w:firstLine="709"/>
        <w:jc w:val="center"/>
        <w:rPr>
          <w:rFonts w:ascii="Times New Roman" w:eastAsia="Calibri" w:hAnsi="Times New Roman" w:cs="Times New Roman"/>
          <w:color w:val="000000"/>
          <w:sz w:val="28"/>
          <w:szCs w:val="28"/>
          <w:lang w:val="en-US"/>
        </w:rPr>
      </w:pPr>
      <w:r w:rsidRPr="00233300">
        <w:rPr>
          <w:rFonts w:ascii="Times New Roman" w:eastAsia="Calibri" w:hAnsi="Times New Roman" w:cs="Times New Roman"/>
          <w:color w:val="000000"/>
          <w:sz w:val="28"/>
          <w:szCs w:val="28"/>
          <w:lang w:val="uk-UA"/>
        </w:rPr>
        <w:t>Література</w:t>
      </w:r>
      <w:r w:rsidRPr="00233300">
        <w:rPr>
          <w:rFonts w:ascii="Times New Roman" w:eastAsia="Calibri" w:hAnsi="Times New Roman" w:cs="Times New Roman"/>
          <w:color w:val="000000"/>
          <w:sz w:val="28"/>
          <w:szCs w:val="28"/>
          <w:lang w:val="en-US"/>
        </w:rPr>
        <w:t>:</w:t>
      </w:r>
    </w:p>
    <w:p w:rsidR="00233300" w:rsidRPr="00233300" w:rsidRDefault="00233300" w:rsidP="00233300">
      <w:pPr>
        <w:numPr>
          <w:ilvl w:val="0"/>
          <w:numId w:val="1"/>
        </w:numPr>
        <w:spacing w:after="0" w:line="360" w:lineRule="auto"/>
        <w:ind w:firstLine="709"/>
        <w:contextualSpacing/>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Цивільний кодекс України // Відомості Верховної Ради України (ВВР). - 2003. - № 40-44. - Ст. 356.</w:t>
      </w:r>
    </w:p>
    <w:p w:rsidR="00233300" w:rsidRPr="00233300" w:rsidRDefault="00233300" w:rsidP="00233300">
      <w:pPr>
        <w:numPr>
          <w:ilvl w:val="0"/>
          <w:numId w:val="1"/>
        </w:numPr>
        <w:spacing w:after="0" w:line="360" w:lineRule="auto"/>
        <w:ind w:firstLine="709"/>
        <w:contextualSpacing/>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Про авторське право і суміжні права: закон України від 23.12.1993 року № 3792-XII // Відомості Верховної Ради України, 1994, № 13, ст.64.</w:t>
      </w:r>
    </w:p>
    <w:p w:rsidR="00233300" w:rsidRPr="00233300" w:rsidRDefault="00233300" w:rsidP="00233300">
      <w:pPr>
        <w:numPr>
          <w:ilvl w:val="0"/>
          <w:numId w:val="1"/>
        </w:numPr>
        <w:spacing w:after="0" w:line="360" w:lineRule="auto"/>
        <w:ind w:firstLine="709"/>
        <w:contextualSpacing/>
        <w:rPr>
          <w:rFonts w:ascii="Times New Roman" w:eastAsia="Calibri" w:hAnsi="Times New Roman" w:cs="Times New Roman"/>
          <w:color w:val="000000"/>
          <w:sz w:val="28"/>
          <w:szCs w:val="28"/>
          <w:lang w:val="uk-UA"/>
        </w:rPr>
      </w:pPr>
      <w:r w:rsidRPr="00233300">
        <w:rPr>
          <w:rFonts w:ascii="Times New Roman" w:eastAsia="Calibri" w:hAnsi="Times New Roman" w:cs="Times New Roman"/>
          <w:color w:val="000000"/>
          <w:sz w:val="28"/>
          <w:szCs w:val="28"/>
          <w:lang w:val="uk-UA"/>
        </w:rPr>
        <w:t xml:space="preserve">Право інтелектуальної власності: підручник / О.І. Харитонова, Є.О. </w:t>
      </w:r>
      <w:proofErr w:type="spellStart"/>
      <w:r w:rsidRPr="00233300">
        <w:rPr>
          <w:rFonts w:ascii="Times New Roman" w:eastAsia="Calibri" w:hAnsi="Times New Roman" w:cs="Times New Roman"/>
          <w:color w:val="000000"/>
          <w:sz w:val="28"/>
          <w:szCs w:val="28"/>
          <w:lang w:val="uk-UA"/>
        </w:rPr>
        <w:t>Харитонов</w:t>
      </w:r>
      <w:proofErr w:type="spellEnd"/>
      <w:r w:rsidRPr="00233300">
        <w:rPr>
          <w:rFonts w:ascii="Times New Roman" w:eastAsia="Calibri" w:hAnsi="Times New Roman" w:cs="Times New Roman"/>
          <w:color w:val="000000"/>
          <w:sz w:val="28"/>
          <w:szCs w:val="28"/>
          <w:lang w:val="uk-UA"/>
        </w:rPr>
        <w:t xml:space="preserve">, Т.С. Ківалова та ін.; за </w:t>
      </w:r>
      <w:proofErr w:type="spellStart"/>
      <w:r w:rsidRPr="00233300">
        <w:rPr>
          <w:rFonts w:ascii="Times New Roman" w:eastAsia="Calibri" w:hAnsi="Times New Roman" w:cs="Times New Roman"/>
          <w:color w:val="000000"/>
          <w:sz w:val="28"/>
          <w:szCs w:val="28"/>
          <w:lang w:val="uk-UA"/>
        </w:rPr>
        <w:t>заг</w:t>
      </w:r>
      <w:proofErr w:type="spellEnd"/>
      <w:r w:rsidRPr="00233300">
        <w:rPr>
          <w:rFonts w:ascii="Times New Roman" w:eastAsia="Calibri" w:hAnsi="Times New Roman" w:cs="Times New Roman"/>
          <w:color w:val="000000"/>
          <w:sz w:val="28"/>
          <w:szCs w:val="28"/>
          <w:lang w:val="uk-UA"/>
        </w:rPr>
        <w:t>. ред. О.І. Харитонової. К.: Юрінком Інтер, 2017. 540 с.</w:t>
      </w:r>
    </w:p>
    <w:p w:rsidR="00233300" w:rsidRDefault="00233300">
      <w:bookmarkStart w:id="0" w:name="_GoBack"/>
      <w:bookmarkEnd w:id="0"/>
    </w:p>
    <w:sectPr w:rsidR="00233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71E14"/>
    <w:multiLevelType w:val="hybridMultilevel"/>
    <w:tmpl w:val="3F7CFA1E"/>
    <w:lvl w:ilvl="0" w:tplc="4986E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00"/>
    <w:rsid w:val="0023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E4008-8216-425A-B410-69B0A0C0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2019-06-23T11:33:00Z</dcterms:created>
  <dcterms:modified xsi:type="dcterms:W3CDTF">2019-06-23T11:33:00Z</dcterms:modified>
</cp:coreProperties>
</file>