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89" w:rsidRPr="0014619A" w:rsidRDefault="001C644E" w:rsidP="00C03024">
      <w:pPr>
        <w:pStyle w:val="1"/>
        <w:spacing w:before="0" w:line="360" w:lineRule="auto"/>
        <w:rPr>
          <w:rFonts w:asciiTheme="majorBidi" w:hAnsiTheme="majorBidi"/>
          <w:color w:val="auto"/>
          <w:sz w:val="24"/>
          <w:szCs w:val="24"/>
          <w:lang w:val="uk-UA"/>
        </w:rPr>
      </w:pPr>
      <w:r w:rsidRPr="0014619A">
        <w:rPr>
          <w:rFonts w:asciiTheme="majorBidi" w:hAnsiTheme="majorBidi"/>
          <w:color w:val="auto"/>
          <w:sz w:val="24"/>
          <w:szCs w:val="24"/>
          <w:lang w:val="uk-UA"/>
        </w:rPr>
        <w:t>УДК 336.6:339.9(043.2)</w:t>
      </w:r>
    </w:p>
    <w:p w:rsidR="00772D89" w:rsidRPr="0014619A" w:rsidRDefault="0014619A" w:rsidP="00C03024">
      <w:pPr>
        <w:spacing w:after="0" w:line="360" w:lineRule="auto"/>
        <w:jc w:val="right"/>
        <w:rPr>
          <w:rFonts w:asciiTheme="majorBidi" w:hAnsiTheme="majorBidi" w:cstheme="majorBidi"/>
          <w:i/>
          <w:sz w:val="24"/>
          <w:szCs w:val="24"/>
          <w:lang w:val="uk-UA"/>
        </w:rPr>
      </w:pPr>
      <w:r>
        <w:rPr>
          <w:rFonts w:asciiTheme="majorBidi" w:hAnsiTheme="majorBidi" w:cstheme="majorBidi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14619A">
        <w:rPr>
          <w:rFonts w:asciiTheme="majorBidi" w:hAnsiTheme="majorBidi" w:cstheme="majorBidi"/>
          <w:i/>
          <w:color w:val="000000"/>
          <w:sz w:val="24"/>
          <w:szCs w:val="24"/>
          <w:lang w:val="uk-UA"/>
        </w:rPr>
        <w:t>Глуховська</w:t>
      </w:r>
      <w:proofErr w:type="spellEnd"/>
      <w:r w:rsidRPr="0014619A">
        <w:rPr>
          <w:rFonts w:asciiTheme="majorBidi" w:hAnsiTheme="majorBidi" w:cstheme="majorBidi"/>
          <w:i/>
          <w:color w:val="000000"/>
          <w:sz w:val="24"/>
          <w:szCs w:val="24"/>
          <w:lang w:val="uk-UA"/>
        </w:rPr>
        <w:t xml:space="preserve"> Б</w:t>
      </w:r>
      <w:r w:rsidRPr="0014619A">
        <w:rPr>
          <w:rFonts w:asciiTheme="majorBidi" w:hAnsiTheme="majorBidi" w:cstheme="majorBidi"/>
          <w:b/>
          <w:i/>
          <w:color w:val="000000"/>
          <w:sz w:val="24"/>
          <w:szCs w:val="24"/>
          <w:lang w:val="uk-UA"/>
        </w:rPr>
        <w:t>.</w:t>
      </w:r>
      <w:r>
        <w:rPr>
          <w:rFonts w:asciiTheme="majorBidi" w:hAnsiTheme="majorBidi" w:cstheme="majorBidi"/>
          <w:i/>
          <w:sz w:val="24"/>
          <w:szCs w:val="24"/>
          <w:lang w:val="uk-UA"/>
        </w:rPr>
        <w:t>В.</w:t>
      </w:r>
      <w:r w:rsidR="001C644E" w:rsidRPr="0014619A">
        <w:rPr>
          <w:rFonts w:asciiTheme="majorBidi" w:hAnsiTheme="majorBidi" w:cstheme="majorBidi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14619A" w:rsidRPr="00161FCC" w:rsidRDefault="0014619A" w:rsidP="0014619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1FCC">
        <w:rPr>
          <w:rFonts w:ascii="Times New Roman" w:hAnsi="Times New Roman" w:cs="Times New Roman"/>
          <w:sz w:val="24"/>
          <w:szCs w:val="24"/>
          <w:lang w:val="uk-UA"/>
        </w:rPr>
        <w:t xml:space="preserve">студентка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бакалаврату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ФМВ НАУ</w:t>
      </w:r>
    </w:p>
    <w:p w:rsidR="00772D89" w:rsidRPr="00C03024" w:rsidRDefault="00772D89" w:rsidP="00C03024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  <w:lang w:val="uk-UA"/>
        </w:rPr>
      </w:pPr>
      <w:bookmarkStart w:id="0" w:name="_GoBack"/>
      <w:bookmarkEnd w:id="0"/>
    </w:p>
    <w:p w:rsidR="00772D89" w:rsidRPr="00C03024" w:rsidRDefault="001C644E" w:rsidP="00C03024">
      <w:pPr>
        <w:spacing w:after="0" w:line="360" w:lineRule="auto"/>
        <w:jc w:val="center"/>
        <w:rPr>
          <w:rFonts w:asciiTheme="majorBidi" w:hAnsiTheme="majorBidi" w:cstheme="majorBidi"/>
          <w:b/>
          <w:caps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b/>
          <w:caps/>
          <w:sz w:val="24"/>
          <w:szCs w:val="24"/>
          <w:lang w:val="uk-UA"/>
        </w:rPr>
        <w:t xml:space="preserve"> Г</w:t>
      </w:r>
      <w:r w:rsidR="00A25C07" w:rsidRPr="00C03024">
        <w:rPr>
          <w:rFonts w:asciiTheme="majorBidi" w:hAnsiTheme="majorBidi" w:cstheme="majorBidi"/>
          <w:b/>
          <w:sz w:val="24"/>
          <w:szCs w:val="24"/>
          <w:lang w:val="uk-UA"/>
        </w:rPr>
        <w:t>лобальні проблеми світового господарства</w:t>
      </w:r>
    </w:p>
    <w:p w:rsidR="00772D89" w:rsidRPr="00C03024" w:rsidRDefault="00772D89" w:rsidP="00C03024">
      <w:pPr>
        <w:spacing w:after="0" w:line="360" w:lineRule="auto"/>
        <w:jc w:val="center"/>
        <w:rPr>
          <w:rFonts w:asciiTheme="majorBidi" w:hAnsiTheme="majorBidi" w:cstheme="majorBidi"/>
          <w:b/>
          <w:caps/>
          <w:sz w:val="24"/>
          <w:szCs w:val="24"/>
          <w:lang w:val="uk-UA"/>
        </w:rPr>
      </w:pPr>
    </w:p>
    <w:p w:rsidR="00772D89" w:rsidRPr="00C03024" w:rsidRDefault="00C03024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caps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  </w:t>
      </w:r>
      <w:r w:rsidR="004049B0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В умовах сучасного розвитку світового господарства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г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лобальні економічні </w:t>
      </w:r>
      <w:r w:rsidR="004049B0">
        <w:rPr>
          <w:rFonts w:asciiTheme="majorBidi" w:hAnsiTheme="majorBidi" w:cstheme="majorBidi"/>
          <w:sz w:val="24"/>
          <w:szCs w:val="24"/>
          <w:lang w:val="uk-UA"/>
        </w:rPr>
        <w:t xml:space="preserve">стосуються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усі</w:t>
      </w:r>
      <w:r w:rsidR="004049B0">
        <w:rPr>
          <w:rFonts w:asciiTheme="majorBidi" w:hAnsiTheme="majorBidi" w:cstheme="majorBidi"/>
          <w:sz w:val="24"/>
          <w:szCs w:val="24"/>
          <w:lang w:val="uk-UA"/>
        </w:rPr>
        <w:t xml:space="preserve">х країн світу та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усіх сфер життя. Наслідки кризових явищ можуть бути катастрофічними. Незалежно від того</w:t>
      </w:r>
      <w:r w:rsidR="004049B0">
        <w:rPr>
          <w:rFonts w:asciiTheme="majorBidi" w:hAnsiTheme="majorBidi" w:cstheme="majorBidi"/>
          <w:sz w:val="24"/>
          <w:szCs w:val="24"/>
          <w:lang w:val="uk-UA"/>
        </w:rPr>
        <w:t>,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в якій сфері життєдіяльності вони відбуваються (економічна, політична, демографічна чи будь-яка інша нестабільність), вони тісно між собою взаємопов’язані і впливають на е</w:t>
      </w:r>
      <w:r w:rsidR="004049B0">
        <w:rPr>
          <w:rFonts w:asciiTheme="majorBidi" w:hAnsiTheme="majorBidi" w:cstheme="majorBidi"/>
          <w:sz w:val="24"/>
          <w:szCs w:val="24"/>
          <w:lang w:val="uk-UA"/>
        </w:rPr>
        <w:t xml:space="preserve">кономіку. В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мовах сьогодення гостро пос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тали питання, без відповідей на які людству буде надзвичайно важко продовжувати економічний прогрес. Навіть не зважаючи на те, що економіка є лише невеликою часткою людської діяльності в цілому, від її розвитку залежать філософські, релігійні та моральні цінності, а також проблеми збереження миру, безпеки, природнього середовища та конкретно середовища проживання людини</w:t>
      </w:r>
      <w:r w:rsidR="001C644E" w:rsidRPr="00C03024">
        <w:rPr>
          <w:rFonts w:asciiTheme="majorBidi" w:hAnsiTheme="majorBidi" w:cstheme="majorBidi"/>
          <w:caps/>
          <w:color w:val="000000"/>
          <w:sz w:val="24"/>
          <w:szCs w:val="24"/>
          <w:lang w:val="uk-UA"/>
        </w:rPr>
        <w:t xml:space="preserve"> </w:t>
      </w:r>
      <w:r w:rsidR="001C644E" w:rsidRPr="00C03024">
        <w:rPr>
          <w:rFonts w:asciiTheme="majorBidi" w:hAnsiTheme="majorBidi" w:cstheme="majorBidi"/>
          <w:caps/>
          <w:sz w:val="24"/>
          <w:szCs w:val="24"/>
          <w:lang w:val="uk-UA"/>
        </w:rPr>
        <w:t>[</w:t>
      </w:r>
      <w:r w:rsidR="001C644E" w:rsidRPr="00C03024">
        <w:rPr>
          <w:rFonts w:asciiTheme="majorBidi" w:hAnsiTheme="majorBidi" w:cstheme="majorBidi"/>
          <w:caps/>
          <w:color w:val="000000"/>
          <w:sz w:val="24"/>
          <w:szCs w:val="24"/>
          <w:lang w:val="uk-UA"/>
        </w:rPr>
        <w:t>2].</w:t>
      </w:r>
    </w:p>
    <w:p w:rsidR="00772D89" w:rsidRPr="00C03024" w:rsidRDefault="001C644E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Існує досить багато глобальних проблем світової економіки, таких як - проблема подолання відсталості країн, що розвиваються, припинення гонки озброєнь, подолання голоду, хвороб, охорона навколишнього середовища та багато інших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, також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проблема демографії, яка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відноситься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чи не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до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всі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х країн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світу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.</w:t>
      </w:r>
    </w:p>
    <w:p w:rsidR="00772D89" w:rsidRPr="00C03024" w:rsidRDefault="00C03024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</w:t>
      </w:r>
      <w:r w:rsidR="007A54A9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Одним із 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>фактор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ів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 xml:space="preserve">,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який впливає на уповільнення 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 xml:space="preserve">зростання світової економіки в 2020 році, - це торгові війни між Китаєм і США,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які 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>можуть при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з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>вести до зменшення обсягів міжнародної торгівлі і, як наслідок, до зниження сукупного споживан</w:t>
      </w:r>
      <w:r w:rsidR="001C644E"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я.</w:t>
      </w:r>
    </w:p>
    <w:p w:rsidR="00772D89" w:rsidRPr="00C03024" w:rsidRDefault="001C644E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Нещодавно Пекін і Вашингтон підписали першу фазу угоди про пом'якшення торгової напруженості. КНР пообіцяла на 200 м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лрд. дол.. США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наростити імпорт з Америки. Штати скасували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заплановані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тарифи на китайські товари вартістю 120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="007A54A9" w:rsidRPr="00C03024">
        <w:rPr>
          <w:rFonts w:asciiTheme="majorBidi" w:hAnsiTheme="majorBidi" w:cstheme="majorBidi"/>
          <w:sz w:val="24"/>
          <w:szCs w:val="24"/>
          <w:lang w:val="uk-UA"/>
        </w:rPr>
        <w:t>м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лрд. дол.. США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. Але сторони зберегли підвищені мита - на 250 </w:t>
      </w:r>
      <w:r w:rsidR="007A54A9" w:rsidRPr="00C03024">
        <w:rPr>
          <w:rFonts w:asciiTheme="majorBidi" w:hAnsiTheme="majorBidi" w:cstheme="majorBidi"/>
          <w:sz w:val="24"/>
          <w:szCs w:val="24"/>
          <w:lang w:val="uk-UA"/>
        </w:rPr>
        <w:t>м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лрд. дол.. США</w:t>
      </w:r>
      <w:r w:rsidR="007A54A9"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для товарів з Піднебесної і на 100 </w:t>
      </w:r>
      <w:r w:rsidR="007A54A9" w:rsidRPr="00C03024">
        <w:rPr>
          <w:rFonts w:asciiTheme="majorBidi" w:hAnsiTheme="majorBidi" w:cstheme="majorBidi"/>
          <w:sz w:val="24"/>
          <w:szCs w:val="24"/>
          <w:lang w:val="uk-UA"/>
        </w:rPr>
        <w:t>м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лрд. дол.. США</w:t>
      </w:r>
      <w:r w:rsidR="007A54A9"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для товарів з США.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 Відповідно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, Пекін і Вашингтон не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скоро досягнуть комп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ромісу в цьому питанні</w:t>
      </w:r>
      <w:r w:rsidRPr="00C03024">
        <w:rPr>
          <w:rFonts w:asciiTheme="majorBidi" w:hAnsiTheme="majorBidi" w:cstheme="majorBidi"/>
          <w:color w:val="000000"/>
          <w:sz w:val="24"/>
          <w:szCs w:val="24"/>
        </w:rPr>
        <w:t xml:space="preserve"> [3]. </w:t>
      </w:r>
    </w:p>
    <w:p w:rsidR="00772D89" w:rsidRPr="00C03024" w:rsidRDefault="00772D89" w:rsidP="00C0302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772D89" w:rsidRPr="00C03024" w:rsidRDefault="001C644E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sz w:val="24"/>
          <w:szCs w:val="24"/>
          <w:lang w:val="uk-UA"/>
        </w:rPr>
        <w:t>Ще один американський «виклик», що стоїть перед економікою в новому році, - це президентські вибори в США.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Переобрання Трампа спричинить за собою поглиблення торговельних воєн і руйнування існуючих головних торгових союзів. А це ослаблення економіки не тільки самих Штатів, а й провідних економік світу. В першу чергу Китаю та найближчих сусідів - Кор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еї, Японії та інших держав Азій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сько-Тихоокеанського регіону. Нестабільність на Заході і непередбачувана політика США підірве зростання економіки Європи.</w:t>
      </w:r>
    </w:p>
    <w:p w:rsidR="00772D89" w:rsidRPr="00C03024" w:rsidRDefault="001C644E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lastRenderedPageBreak/>
        <w:t xml:space="preserve"> Також, за висновками вчених, ми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нуле десятиліття було найтеплішим в історії людства.  Смертельні лісові пожежі, в тому числі ті, що зачіпають Австралію, урагани, екстремальні погодні явища, а також міграція і голод, що впливають на клімат, в багатьох частинах світу стали звичайним явищем.  Крижані шапки тануть, рівень моря підвищується, і саме виживання острівних держав знаходиться під загрозою. 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Отже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, вся наша екосис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тема знаходиться під загрозою: один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мільйон видів тварин і рослин може вимерти протягом багатьох років, що є найбільшою екологічною втратою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 для людства.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І зростаю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чий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глобальний рух молоді, яка прагне змін, штовхає захист клімату в світов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у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свідомість, як ніколи раніше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[4]. </w:t>
      </w:r>
    </w:p>
    <w:p w:rsidR="00772D89" w:rsidRPr="00C03024" w:rsidRDefault="001C644E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Згідно із доповіддю ООН, у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людей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є десятиліття, щоб значно скоротити викиди вуглецю і уникнути катастрофи.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Необхідно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вдвічі скоротити глобальні викиди до 2030 року, але р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ізниця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між потребами і на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шими поточними зобов'язаннями значна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.  Починаючи з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2020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року, 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 xml:space="preserve">людству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необхідно скорочувати викиди на 7,6% щороку протягом наступних 10 років, щоб обме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жити потепління до 1,5 градусів.</w:t>
      </w:r>
    </w:p>
    <w:p w:rsidR="00772D89" w:rsidRPr="00C03024" w:rsidRDefault="001C644E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Також</w:t>
      </w:r>
      <w:r w:rsidR="007A54A9">
        <w:rPr>
          <w:rFonts w:asciiTheme="majorBidi" w:hAnsiTheme="majorBidi" w:cstheme="majorBidi"/>
          <w:color w:val="000000"/>
          <w:sz w:val="24"/>
          <w:szCs w:val="24"/>
          <w:lang w:val="uk-UA"/>
        </w:rPr>
        <w:t>,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</w:t>
      </w:r>
      <w:r w:rsidR="007A54A9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варто зазначити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вп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лив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коронав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ірусу</w:t>
      </w:r>
      <w:proofErr w:type="spellEnd"/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на світову економіку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. </w:t>
      </w:r>
      <w:r w:rsidR="00EE2591">
        <w:rPr>
          <w:rFonts w:asciiTheme="majorBidi" w:hAnsiTheme="majorBidi" w:cstheme="majorBidi"/>
          <w:sz w:val="24"/>
          <w:szCs w:val="24"/>
          <w:lang w:val="uk-UA"/>
        </w:rPr>
        <w:t xml:space="preserve">Швидке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поширення нового в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ірусу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стало одн</w:t>
      </w:r>
      <w:r w:rsidR="007A54A9">
        <w:rPr>
          <w:rFonts w:asciiTheme="majorBidi" w:hAnsiTheme="majorBidi" w:cstheme="majorBidi"/>
          <w:sz w:val="24"/>
          <w:szCs w:val="24"/>
          <w:lang w:val="uk-UA"/>
        </w:rPr>
        <w:t>ією з найбільших загроз світовій економіці</w:t>
      </w:r>
      <w:r w:rsidR="00EE2591">
        <w:rPr>
          <w:rFonts w:asciiTheme="majorBidi" w:hAnsiTheme="majorBidi" w:cstheme="majorBidi"/>
          <w:sz w:val="24"/>
          <w:szCs w:val="24"/>
          <w:lang w:val="uk-UA"/>
        </w:rPr>
        <w:t xml:space="preserve"> і фінансовим ринкам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.</w:t>
      </w:r>
      <w:r w:rsid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За даними Всесвітньої організації охорони здоров'я, вірус, вперше виявлений в китайському місті Ухань</w:t>
      </w:r>
      <w:r w:rsidR="00EE2591">
        <w:rPr>
          <w:rFonts w:asciiTheme="majorBidi" w:hAnsiTheme="majorBidi" w:cstheme="majorBidi"/>
          <w:sz w:val="24"/>
          <w:szCs w:val="24"/>
          <w:lang w:val="uk-UA"/>
        </w:rPr>
        <w:t>,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в грудні </w:t>
      </w:r>
      <w:r w:rsidR="00EE2591">
        <w:rPr>
          <w:rFonts w:asciiTheme="majorBidi" w:hAnsiTheme="majorBidi" w:cstheme="majorBidi"/>
          <w:sz w:val="24"/>
          <w:szCs w:val="24"/>
          <w:lang w:val="uk-UA"/>
        </w:rPr>
        <w:t xml:space="preserve">2019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року, заразив більше 110 </w:t>
      </w:r>
      <w:r w:rsidR="00EE2591">
        <w:rPr>
          <w:rFonts w:asciiTheme="majorBidi" w:hAnsiTheme="majorBidi" w:cstheme="majorBidi"/>
          <w:sz w:val="24"/>
          <w:szCs w:val="24"/>
          <w:lang w:val="uk-UA"/>
        </w:rPr>
        <w:t xml:space="preserve">тисяч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чоловік як мінімум в 110 країнах і територіях світу.  За даними В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О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ОЗ, з числа інфікованих більше 4</w:t>
      </w:r>
      <w:r w:rsidR="00EE2591">
        <w:rPr>
          <w:rFonts w:asciiTheme="majorBidi" w:hAnsiTheme="majorBidi" w:cstheme="majorBidi"/>
          <w:sz w:val="24"/>
          <w:szCs w:val="24"/>
          <w:lang w:val="uk-UA"/>
        </w:rPr>
        <w:t xml:space="preserve"> тисяч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чоловік померли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[1]. </w:t>
      </w:r>
    </w:p>
    <w:p w:rsidR="00B77E40" w:rsidRDefault="001C644E" w:rsidP="00B77E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 З економічної точки зору ключове питання полягає не тільки в кількості випадків COVID-19, а й певною мірою негативного впливу на </w:t>
      </w:r>
      <w:r w:rsidR="00B77E40">
        <w:rPr>
          <w:rFonts w:asciiTheme="majorBidi" w:hAnsiTheme="majorBidi" w:cstheme="majorBidi"/>
          <w:sz w:val="24"/>
          <w:szCs w:val="24"/>
          <w:lang w:val="uk-UA"/>
        </w:rPr>
        <w:t>заходи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щодо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</w:t>
      </w:r>
      <w:r w:rsidR="00B77E40">
        <w:rPr>
          <w:rFonts w:asciiTheme="majorBidi" w:hAnsiTheme="majorBidi" w:cstheme="majorBidi"/>
          <w:sz w:val="24"/>
          <w:szCs w:val="24"/>
          <w:lang w:val="uk-UA"/>
        </w:rPr>
        <w:t xml:space="preserve">його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стримування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.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Спалах прив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ів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до того, що великі установи та банки скоротили свої прог</w:t>
      </w:r>
      <w:r w:rsidR="005068B8">
        <w:rPr>
          <w:rFonts w:asciiTheme="majorBidi" w:hAnsiTheme="majorBidi" w:cstheme="majorBidi"/>
          <w:sz w:val="24"/>
          <w:szCs w:val="24"/>
          <w:lang w:val="uk-UA"/>
        </w:rPr>
        <w:t xml:space="preserve">нози по світовій економіці. 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Організація економічного співробітництва і розвитку</w:t>
      </w:r>
      <w:r w:rsidR="00B77E40">
        <w:rPr>
          <w:rFonts w:asciiTheme="majorBidi" w:hAnsiTheme="majorBidi" w:cstheme="majorBidi"/>
          <w:sz w:val="24"/>
          <w:szCs w:val="24"/>
          <w:lang w:val="uk-UA"/>
        </w:rPr>
        <w:t xml:space="preserve"> (ОЕСР)</w:t>
      </w:r>
      <w:r w:rsidR="005068B8">
        <w:rPr>
          <w:rFonts w:asciiTheme="majorBidi" w:hAnsiTheme="majorBidi" w:cstheme="majorBidi"/>
          <w:sz w:val="24"/>
          <w:szCs w:val="24"/>
          <w:lang w:val="uk-UA"/>
        </w:rPr>
        <w:t xml:space="preserve"> в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березневому звіті заявила</w:t>
      </w:r>
      <w:r w:rsidR="005068B8">
        <w:rPr>
          <w:rFonts w:asciiTheme="majorBidi" w:hAnsiTheme="majorBidi" w:cstheme="majorBidi"/>
          <w:sz w:val="24"/>
          <w:szCs w:val="24"/>
          <w:lang w:val="uk-UA"/>
        </w:rPr>
        <w:t xml:space="preserve"> про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зни</w:t>
      </w:r>
      <w:r w:rsidR="005068B8">
        <w:rPr>
          <w:rFonts w:asciiTheme="majorBidi" w:hAnsiTheme="majorBidi" w:cstheme="majorBidi"/>
          <w:sz w:val="24"/>
          <w:szCs w:val="24"/>
          <w:lang w:val="uk-UA"/>
        </w:rPr>
        <w:t>ження прогнозів щодо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зростання на 2020 рік майже для всіх країн</w:t>
      </w:r>
      <w:r w:rsidR="00B77E40">
        <w:rPr>
          <w:rFonts w:asciiTheme="majorBidi" w:hAnsiTheme="majorBidi" w:cstheme="majorBidi"/>
          <w:sz w:val="24"/>
          <w:szCs w:val="24"/>
          <w:lang w:val="uk-UA"/>
        </w:rPr>
        <w:t xml:space="preserve"> світу.</w:t>
      </w:r>
    </w:p>
    <w:p w:rsidR="00772D89" w:rsidRPr="00C03024" w:rsidRDefault="001C644E" w:rsidP="00B77E4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Відбулося у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повільнення виробничої діяльності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.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Виробничий сектор у Китаї сильно постраждав від спалаху вірусу.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І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ндекс </w:t>
      </w:r>
      <w:r w:rsidR="005068B8">
        <w:rPr>
          <w:rFonts w:asciiTheme="majorBidi" w:hAnsiTheme="majorBidi" w:cstheme="majorBidi"/>
          <w:sz w:val="24"/>
          <w:szCs w:val="24"/>
          <w:lang w:val="uk-UA"/>
        </w:rPr>
        <w:t xml:space="preserve">менеджерів із закупівель </w:t>
      </w:r>
      <w:proofErr w:type="spellStart"/>
      <w:r w:rsidR="005068B8">
        <w:rPr>
          <w:rFonts w:asciiTheme="majorBidi" w:hAnsiTheme="majorBidi" w:cstheme="majorBidi"/>
          <w:sz w:val="24"/>
          <w:szCs w:val="24"/>
          <w:lang w:val="uk-UA"/>
        </w:rPr>
        <w:t>Caixin</w:t>
      </w:r>
      <w:proofErr w:type="spellEnd"/>
      <w:r w:rsidR="005068B8">
        <w:rPr>
          <w:rFonts w:asciiTheme="majorBidi" w:hAnsiTheme="majorBidi" w:cstheme="majorBidi"/>
          <w:sz w:val="24"/>
          <w:szCs w:val="24"/>
          <w:lang w:val="uk-UA"/>
        </w:rPr>
        <w:t>/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Markit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Manufacturing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- опитування приватних компаній - показав, що фабрична діяльність в Китаї скоротилася в лютому </w:t>
      </w:r>
      <w:r w:rsidR="009104ED">
        <w:rPr>
          <w:rFonts w:asciiTheme="majorBidi" w:hAnsiTheme="majorBidi" w:cstheme="majorBidi"/>
          <w:sz w:val="24"/>
          <w:szCs w:val="24"/>
          <w:lang w:val="uk-UA"/>
        </w:rPr>
        <w:t>2020 року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, і показав рекордний показник 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в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40,3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%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.</w:t>
      </w:r>
      <w:r w:rsidR="009104ED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Таке уповільнення китайського виробництва завдало шкоди країнам, що мають тісні економічні зв’язки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 з Китаєм, багато з яких є азій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сько-тихоокеанськими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 економіками, такими як В'єтнам, Сінгапур та Південна Корея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.</w:t>
      </w:r>
      <w:r w:rsid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</w:p>
    <w:p w:rsidR="00000720" w:rsidRDefault="001C644E" w:rsidP="0000072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 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Спад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світової економічної активності 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призвів до зниження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попит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у на нафту та відповідно, до мінімальної її ціни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. Це сталося ще до того, як незгода щодо скорочення виробництва між ОПЕК та його союзниками спричинил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а останнє падіння цін на нафту.</w:t>
      </w:r>
    </w:p>
    <w:p w:rsidR="00772D89" w:rsidRPr="00C03024" w:rsidRDefault="001C644E" w:rsidP="0000072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Страх перед впливом COVID-19 на світову економіку 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змінив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настрої інвесторів та знизив ціни на акції на основних ринках.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Тому, зроста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ння глобальної економіки в 2020 році буде однозначно меншим, ніж минулого року через коронавірус, зниження цін на нафту та обмеження торгівлі.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Саме тому ООН наголошує, що тісне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багатосторонн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ьому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співробітництво необхідн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е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для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lastRenderedPageBreak/>
        <w:t xml:space="preserve">подолання наслідків пандемії, в тому числі для надання допомоги обмеженим у фінансовому відношенні країнам, що стикаються з подвійними потрясіннями в області охорони здоров'я і фінансування, а також для направлення допомоги країнам зі слабкими системами охорони здоров'я. 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Державам терміново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необхідно спільними зусиллями уповільнити поширення вірусу і розробити вакцину і терапію для боро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тьби з хворобою.  По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ки такі медичні заходи не стануть доступними, жодна 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з країн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не буде в безпеці від панічного синдрому (включаючи його повторення після того, як перша хвиля вщухне)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,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п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оки передача вірусу відбувається в інших місцях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[5]. </w:t>
      </w:r>
    </w:p>
    <w:p w:rsidR="00772D89" w:rsidRPr="00C03024" w:rsidRDefault="00000720" w:rsidP="00C0302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Таким чином, </w:t>
      </w:r>
      <w:r w:rsidR="001C644E"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у 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>сучасному світовому господарстві збільшується взаємозв'язок і взаємозалежність загальних і локальних, глобальних і національних інтересів.  Складність і гострота економічних проблем світового господарства породжені самим типом сучасної цивілізації, рівнем і характером розвитку продуктивних сил.  На перший план перед людством висуваються такі загальні проблеми, як збереження миру на землі, запобігання воєн - хімічних, бактеріологічних, а особливо термоядерних, призупинення гонки озброєнь, розширення конверсії, запобігання локальних і глобальних збройних конфліктів.</w:t>
      </w:r>
      <w:r w:rsidR="001C644E"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 </w:t>
      </w:r>
    </w:p>
    <w:p w:rsidR="00772D89" w:rsidRPr="00C03024" w:rsidRDefault="001C644E" w:rsidP="00C03024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b/>
          <w:sz w:val="24"/>
          <w:szCs w:val="24"/>
          <w:lang w:val="uk-UA"/>
        </w:rPr>
        <w:t>Список використаної літератури</w:t>
      </w:r>
    </w:p>
    <w:p w:rsidR="00772D89" w:rsidRPr="00C03024" w:rsidRDefault="001C644E" w:rsidP="00C03024">
      <w:pPr>
        <w:numPr>
          <w:ilvl w:val="0"/>
          <w:numId w:val="4"/>
        </w:numPr>
        <w:spacing w:after="0" w:line="360" w:lineRule="auto"/>
        <w:ind w:left="0" w:firstLine="709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МВФ оцінив вплив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коронавірусу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на світову економіку</w:t>
      </w:r>
      <w:r w:rsid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03024">
        <w:rPr>
          <w:rFonts w:asciiTheme="majorBidi" w:hAnsiTheme="majorBidi" w:cstheme="majorBidi"/>
          <w:color w:val="000000"/>
          <w:sz w:val="24"/>
          <w:szCs w:val="24"/>
        </w:rPr>
        <w:t>[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Елект</w:t>
      </w:r>
      <w:r w:rsidR="00C03024" w:rsidRPr="00C03024">
        <w:rPr>
          <w:rFonts w:asciiTheme="majorBidi" w:hAnsiTheme="majorBidi" w:cstheme="majorBidi"/>
          <w:sz w:val="24"/>
          <w:szCs w:val="24"/>
          <w:lang w:val="uk-UA"/>
        </w:rPr>
        <w:t xml:space="preserve">ронний ресурс]. — Режим доступу: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https://finclub.net/ua/news/mvf-otsinyv-vplyv-koronavirusu-na-svitovu-ekonomiku.html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772D89" w:rsidRPr="00C03024" w:rsidRDefault="00C03024" w:rsidP="00C03024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2. 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>GLOBAL ISSUES TO WATCH IN 2020</w:t>
      </w:r>
      <w:r w:rsidR="001C644E"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</w:t>
      </w:r>
      <w:r w:rsidR="001C644E"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[Електронний ресурс]. — Режим доступу :</w:t>
      </w:r>
      <w:r w:rsidR="001C644E" w:rsidRPr="00C03024">
        <w:rPr>
          <w:rFonts w:asciiTheme="majorBidi" w:hAnsiTheme="majorBidi" w:cstheme="majorBidi"/>
          <w:sz w:val="24"/>
          <w:szCs w:val="24"/>
          <w:lang w:val="uk-UA"/>
        </w:rPr>
        <w:t>https://unfoundation.org/blog/post/5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-global-issues-to-watch-in-2020.</w:t>
      </w:r>
    </w:p>
    <w:p w:rsidR="00772D89" w:rsidRPr="00C03024" w:rsidRDefault="001C644E" w:rsidP="00C03024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3.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Global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Economy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in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2020: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What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Policymakers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Need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to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proofErr w:type="gramStart"/>
      <w:r w:rsidRPr="00C03024">
        <w:rPr>
          <w:rFonts w:asciiTheme="majorBidi" w:hAnsiTheme="majorBidi" w:cstheme="majorBidi"/>
          <w:sz w:val="24"/>
          <w:szCs w:val="24"/>
          <w:lang w:val="uk-UA"/>
        </w:rPr>
        <w:t>Know</w:t>
      </w:r>
      <w:proofErr w:type="spellEnd"/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 xml:space="preserve"> [</w:t>
      </w:r>
      <w:proofErr w:type="gramEnd"/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Електронний ресурс]. — Режим доступу :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https://www.cgdev.org/event/global-economy-2020-what-policymakers-need-know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772D89" w:rsidRPr="00C03024" w:rsidRDefault="001C644E" w:rsidP="00C03024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4.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World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Economic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Outlook,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April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2020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[Електронний ресурс]. — Режим доступу :</w:t>
      </w:r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>https://www.imf.org/en/Publications/WEO/Issues/2020/04/14/weo-april-2020</w:t>
      </w:r>
      <w:r w:rsidR="00000720"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772D89" w:rsidRPr="00C03024" w:rsidRDefault="001C644E" w:rsidP="00C03024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5. </w:t>
      </w:r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COVID-19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pandemic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,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an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‘unprecedented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wake-</w:t>
      </w:r>
      <w:proofErr w:type="spellStart"/>
      <w:r w:rsidRPr="00C03024">
        <w:rPr>
          <w:rFonts w:asciiTheme="majorBidi" w:hAnsiTheme="majorBidi" w:cstheme="majorBidi"/>
          <w:sz w:val="24"/>
          <w:szCs w:val="24"/>
          <w:lang w:val="uk-UA"/>
        </w:rPr>
        <w:t>up</w:t>
      </w:r>
      <w:proofErr w:type="spellEnd"/>
      <w:r w:rsidRPr="00C03024">
        <w:rPr>
          <w:rFonts w:asciiTheme="majorBidi" w:hAnsiTheme="majorBidi" w:cstheme="majorBidi"/>
          <w:sz w:val="24"/>
          <w:szCs w:val="24"/>
          <w:lang w:val="uk-UA"/>
        </w:rPr>
        <w:t xml:space="preserve"> call’ for all inhabitants of Mother Eart</w:t>
      </w:r>
    </w:p>
    <w:p w:rsidR="00772D89" w:rsidRPr="0014619A" w:rsidRDefault="001C644E" w:rsidP="001C644E">
      <w:pPr>
        <w:spacing w:after="0" w:line="360" w:lineRule="auto"/>
        <w:rPr>
          <w:rFonts w:asciiTheme="majorBidi" w:hAnsiTheme="majorBidi" w:cstheme="majorBidi"/>
          <w:sz w:val="24"/>
          <w:szCs w:val="24"/>
          <w:lang w:val="uk-UA"/>
        </w:rPr>
      </w:pPr>
      <w:r w:rsidRPr="00C03024">
        <w:rPr>
          <w:rFonts w:asciiTheme="majorBidi" w:hAnsiTheme="majorBidi" w:cstheme="majorBidi"/>
          <w:color w:val="000000"/>
          <w:sz w:val="24"/>
          <w:szCs w:val="24"/>
          <w:lang w:val="uk-UA"/>
        </w:rPr>
        <w:t>[Електронний ресурс]. — Режим доступу :</w:t>
      </w:r>
      <w:r w:rsidRPr="00C0302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6" w:history="1">
        <w:r w:rsidR="0014619A" w:rsidRPr="0014619A">
          <w:rPr>
            <w:rStyle w:val="a3"/>
            <w:rFonts w:asciiTheme="majorBidi" w:hAnsiTheme="majorBidi" w:cstheme="majorBidi"/>
            <w:color w:val="auto"/>
            <w:sz w:val="24"/>
            <w:szCs w:val="24"/>
            <w:u w:val="none"/>
            <w:lang w:val="uk-UA"/>
          </w:rPr>
          <w:t>https://news.un.org/en/story/2020/04/1062322</w:t>
        </w:r>
      </w:hyperlink>
      <w:r w:rsidR="00000720" w:rsidRPr="0014619A">
        <w:rPr>
          <w:rFonts w:asciiTheme="majorBidi" w:hAnsiTheme="majorBidi" w:cstheme="majorBidi"/>
          <w:sz w:val="24"/>
          <w:szCs w:val="24"/>
          <w:lang w:val="uk-UA"/>
        </w:rPr>
        <w:t>.</w:t>
      </w:r>
    </w:p>
    <w:p w:rsidR="0014619A" w:rsidRDefault="0014619A" w:rsidP="001C644E">
      <w:pPr>
        <w:spacing w:after="0" w:line="360" w:lineRule="auto"/>
        <w:rPr>
          <w:rFonts w:asciiTheme="majorBidi" w:hAnsiTheme="majorBidi" w:cstheme="majorBidi"/>
          <w:sz w:val="24"/>
          <w:szCs w:val="24"/>
          <w:lang w:val="uk-UA"/>
        </w:rPr>
      </w:pPr>
    </w:p>
    <w:p w:rsidR="0014619A" w:rsidRPr="00A97E0F" w:rsidRDefault="0014619A" w:rsidP="0014619A">
      <w:pPr>
        <w:pStyle w:val="a4"/>
        <w:shd w:val="clear" w:color="auto" w:fill="FFFFFF"/>
        <w:spacing w:before="0" w:beforeAutospacing="0" w:after="0" w:afterAutospacing="0" w:line="360" w:lineRule="auto"/>
        <w:jc w:val="right"/>
      </w:pPr>
      <w:r w:rsidRPr="00A97E0F">
        <w:rPr>
          <w:shd w:val="clear" w:color="auto" w:fill="FFFFFF"/>
        </w:rPr>
        <w:t xml:space="preserve">Науковий керівник – Л.М. Побоченко, </w:t>
      </w:r>
      <w:proofErr w:type="spellStart"/>
      <w:r w:rsidRPr="00A97E0F">
        <w:t>к.е.н</w:t>
      </w:r>
      <w:proofErr w:type="spellEnd"/>
      <w:r w:rsidRPr="00A97E0F">
        <w:t xml:space="preserve">., доцент, </w:t>
      </w:r>
    </w:p>
    <w:p w:rsidR="0014619A" w:rsidRPr="00A97E0F" w:rsidRDefault="0014619A" w:rsidP="0014619A">
      <w:pPr>
        <w:pStyle w:val="a4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>доцент кафедри міжнародних економічних</w:t>
      </w:r>
    </w:p>
    <w:p w:rsidR="0014619A" w:rsidRPr="00A97E0F" w:rsidRDefault="0014619A" w:rsidP="0014619A">
      <w:pPr>
        <w:pStyle w:val="a4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 xml:space="preserve"> відносин і бізнесу </w:t>
      </w:r>
      <w:r>
        <w:t>Ф</w:t>
      </w:r>
      <w:r w:rsidRPr="00A97E0F">
        <w:t>МВ НАУ</w:t>
      </w:r>
    </w:p>
    <w:p w:rsidR="0014619A" w:rsidRPr="00C03024" w:rsidRDefault="0014619A" w:rsidP="001C644E">
      <w:pPr>
        <w:spacing w:after="0" w:line="360" w:lineRule="auto"/>
        <w:rPr>
          <w:rFonts w:asciiTheme="majorBidi" w:hAnsiTheme="majorBidi" w:cstheme="majorBidi"/>
          <w:sz w:val="24"/>
          <w:szCs w:val="24"/>
          <w:lang w:val="uk-UA"/>
        </w:rPr>
      </w:pPr>
    </w:p>
    <w:sectPr w:rsidR="0014619A" w:rsidRPr="00C03024" w:rsidSect="00C030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2CF"/>
    <w:multiLevelType w:val="hybridMultilevel"/>
    <w:tmpl w:val="00000000"/>
    <w:lvl w:ilvl="0" w:tplc="FF20FE6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5C824D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018617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A58CE5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C7B622E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6950B64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24AD2E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B96BF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BD7EF9C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A781F"/>
    <w:multiLevelType w:val="hybridMultilevel"/>
    <w:tmpl w:val="00000000"/>
    <w:lvl w:ilvl="0" w:tplc="69D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844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ACD76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C68449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4AB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093E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FCF26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0CC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A40DC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0004B"/>
    <w:multiLevelType w:val="hybridMultilevel"/>
    <w:tmpl w:val="00000000"/>
    <w:lvl w:ilvl="0" w:tplc="DEE20C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5FC0B4B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2CBC71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08499B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4DE005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10A01EF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3E40AB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5950ED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B1C7F9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4575E"/>
    <w:multiLevelType w:val="hybridMultilevel"/>
    <w:tmpl w:val="00000000"/>
    <w:lvl w:ilvl="0" w:tplc="737E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2F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8D708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EFC84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405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581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5A782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0A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247CA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28"/>
    <w:rsid w:val="00000720"/>
    <w:rsid w:val="0005250F"/>
    <w:rsid w:val="0014619A"/>
    <w:rsid w:val="001C644E"/>
    <w:rsid w:val="001E3919"/>
    <w:rsid w:val="00315C28"/>
    <w:rsid w:val="004049B0"/>
    <w:rsid w:val="00475287"/>
    <w:rsid w:val="005068B8"/>
    <w:rsid w:val="007610CF"/>
    <w:rsid w:val="00772D89"/>
    <w:rsid w:val="007A54A9"/>
    <w:rsid w:val="008072FF"/>
    <w:rsid w:val="009104ED"/>
    <w:rsid w:val="00A25C07"/>
    <w:rsid w:val="00B17C3A"/>
    <w:rsid w:val="00B77E40"/>
    <w:rsid w:val="00C03024"/>
    <w:rsid w:val="00C27660"/>
    <w:rsid w:val="00E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0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4619A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4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03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4619A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14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un.org/en/story/2020/04/10623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4998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~</cp:lastModifiedBy>
  <cp:revision>2</cp:revision>
  <cp:lastPrinted>2020-04-23T10:01:00Z</cp:lastPrinted>
  <dcterms:created xsi:type="dcterms:W3CDTF">2020-06-30T17:56:00Z</dcterms:created>
  <dcterms:modified xsi:type="dcterms:W3CDTF">2020-06-30T17:56:00Z</dcterms:modified>
</cp:coreProperties>
</file>